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EF" w:rsidRDefault="00173EEF">
      <w:pPr>
        <w:rPr>
          <w:sz w:val="24"/>
        </w:rPr>
      </w:pPr>
    </w:p>
    <w:p w:rsidR="00173EEF" w:rsidRDefault="00173EEF">
      <w:pPr>
        <w:rPr>
          <w:sz w:val="24"/>
        </w:rPr>
      </w:pPr>
    </w:p>
    <w:p w:rsidR="00173EEF" w:rsidRDefault="00173EEF">
      <w:pPr>
        <w:rPr>
          <w:sz w:val="24"/>
        </w:rPr>
      </w:pPr>
    </w:p>
    <w:p w:rsidR="00173EEF" w:rsidRDefault="00173EEF">
      <w:pPr>
        <w:rPr>
          <w:sz w:val="24"/>
        </w:rPr>
      </w:pPr>
    </w:p>
    <w:p w:rsidR="00173EEF" w:rsidRDefault="00173EEF">
      <w:pPr>
        <w:rPr>
          <w:sz w:val="24"/>
        </w:rPr>
      </w:pPr>
    </w:p>
    <w:p w:rsidR="00173EEF" w:rsidRDefault="00173EEF">
      <w:pPr>
        <w:rPr>
          <w:sz w:val="24"/>
        </w:rPr>
      </w:pPr>
    </w:p>
    <w:p w:rsidR="00173EEF" w:rsidRDefault="00173EEF">
      <w:pPr>
        <w:rPr>
          <w:sz w:val="24"/>
        </w:rPr>
      </w:pPr>
    </w:p>
    <w:p w:rsidR="00173EEF" w:rsidRDefault="00173EEF">
      <w:pPr>
        <w:spacing w:line="288" w:lineRule="auto"/>
        <w:ind w:left="1417"/>
        <w:jc w:val="both"/>
        <w:rPr>
          <w:sz w:val="24"/>
        </w:rPr>
      </w:pPr>
      <w:r>
        <w:rPr>
          <w:sz w:val="24"/>
        </w:rPr>
        <w:t>Til</w:t>
      </w:r>
    </w:p>
    <w:p w:rsidR="00173EEF" w:rsidRDefault="00B944D7">
      <w:pPr>
        <w:spacing w:line="288" w:lineRule="auto"/>
        <w:ind w:left="1417"/>
        <w:jc w:val="both"/>
        <w:rPr>
          <w:sz w:val="24"/>
        </w:rPr>
      </w:pPr>
      <w:r>
        <w:rPr>
          <w:sz w:val="24"/>
        </w:rPr>
        <w:fldChar w:fldCharType="begin"/>
      </w:r>
      <w:r w:rsidR="00173EEF">
        <w:rPr>
          <w:sz w:val="24"/>
        </w:rPr>
        <w:instrText>ADVANCE \x119</w:instrText>
      </w:r>
      <w:r>
        <w:rPr>
          <w:sz w:val="24"/>
        </w:rPr>
        <w:fldChar w:fldCharType="end"/>
      </w:r>
      <w:r w:rsidR="00173EEF">
        <w:rPr>
          <w:sz w:val="24"/>
        </w:rPr>
        <w:t>Folketinget - Skatteudvalget</w:t>
      </w:r>
    </w:p>
    <w:p w:rsidR="00173EEF" w:rsidRDefault="00173EEF">
      <w:pPr>
        <w:spacing w:line="288" w:lineRule="auto"/>
        <w:ind w:left="1417"/>
        <w:jc w:val="both"/>
        <w:rPr>
          <w:sz w:val="24"/>
        </w:rPr>
      </w:pPr>
    </w:p>
    <w:p w:rsidR="00DF1370" w:rsidRPr="00DF1370" w:rsidRDefault="00DF1370" w:rsidP="00DF1370">
      <w:pPr>
        <w:spacing w:line="288" w:lineRule="auto"/>
        <w:ind w:left="1417"/>
        <w:jc w:val="both"/>
        <w:rPr>
          <w:sz w:val="24"/>
        </w:rPr>
      </w:pPr>
      <w:r w:rsidRPr="00DF1370">
        <w:rPr>
          <w:sz w:val="24"/>
        </w:rPr>
        <w:t xml:space="preserve">Til udvalgets orientering vedlægges </w:t>
      </w:r>
      <w:r>
        <w:rPr>
          <w:sz w:val="24"/>
        </w:rPr>
        <w:t xml:space="preserve">supplerende </w:t>
      </w:r>
      <w:r w:rsidRPr="00DF1370">
        <w:rPr>
          <w:sz w:val="24"/>
        </w:rPr>
        <w:t>høring</w:t>
      </w:r>
      <w:r w:rsidRPr="00DF1370">
        <w:rPr>
          <w:sz w:val="24"/>
        </w:rPr>
        <w:t>s</w:t>
      </w:r>
      <w:r w:rsidRPr="00DF1370">
        <w:rPr>
          <w:sz w:val="24"/>
        </w:rPr>
        <w:t xml:space="preserve">skema </w:t>
      </w:r>
      <w:r>
        <w:rPr>
          <w:sz w:val="24"/>
        </w:rPr>
        <w:t xml:space="preserve">samt de modtagne høringssvar </w:t>
      </w:r>
      <w:r w:rsidRPr="00DF1370">
        <w:rPr>
          <w:sz w:val="24"/>
        </w:rPr>
        <w:t>vedrørende L 108 - Forslag til lov om ændring af lov om afgift af elektricitet, lov om afgift af naturgas og bygas, lov om afgift af stenkul, brunkul og koks m.v. og lov om energiafgift af minera</w:t>
      </w:r>
      <w:r w:rsidRPr="00DF1370">
        <w:rPr>
          <w:sz w:val="24"/>
        </w:rPr>
        <w:t>l</w:t>
      </w:r>
      <w:r w:rsidRPr="00DF1370">
        <w:rPr>
          <w:sz w:val="24"/>
        </w:rPr>
        <w:t xml:space="preserve">olieprodukter m.v. </w:t>
      </w:r>
    </w:p>
    <w:p w:rsidR="00173EEF" w:rsidRDefault="00DF1370" w:rsidP="00DF1370">
      <w:pPr>
        <w:spacing w:line="288" w:lineRule="auto"/>
        <w:ind w:left="1417"/>
        <w:jc w:val="both"/>
        <w:rPr>
          <w:sz w:val="24"/>
        </w:rPr>
      </w:pPr>
      <w:r w:rsidRPr="00DF1370">
        <w:rPr>
          <w:sz w:val="24"/>
        </w:rPr>
        <w:t>(Forsyningssikkerhedsafgift på fossile brændsler og afgift</w:t>
      </w:r>
      <w:r w:rsidRPr="00DF1370">
        <w:rPr>
          <w:sz w:val="24"/>
        </w:rPr>
        <w:t>s</w:t>
      </w:r>
      <w:r w:rsidRPr="00DF1370">
        <w:rPr>
          <w:sz w:val="24"/>
        </w:rPr>
        <w:t>le</w:t>
      </w:r>
      <w:r>
        <w:rPr>
          <w:sz w:val="24"/>
        </w:rPr>
        <w:t>mpelse for pr</w:t>
      </w:r>
      <w:r>
        <w:rPr>
          <w:sz w:val="24"/>
        </w:rPr>
        <w:t>o</w:t>
      </w:r>
      <w:r w:rsidRPr="00DF1370">
        <w:rPr>
          <w:sz w:val="24"/>
        </w:rPr>
        <w:t>cesenergi).</w:t>
      </w:r>
    </w:p>
    <w:p w:rsidR="00173EEF" w:rsidRDefault="00173EEF">
      <w:pPr>
        <w:spacing w:line="288" w:lineRule="auto"/>
        <w:ind w:left="1417"/>
        <w:jc w:val="both"/>
        <w:rPr>
          <w:sz w:val="24"/>
        </w:rPr>
      </w:pPr>
    </w:p>
    <w:p w:rsidR="00173EEF" w:rsidRDefault="00173EEF">
      <w:pPr>
        <w:spacing w:line="288" w:lineRule="auto"/>
        <w:ind w:left="1417"/>
        <w:jc w:val="both"/>
        <w:rPr>
          <w:sz w:val="24"/>
        </w:rPr>
      </w:pPr>
    </w:p>
    <w:p w:rsidR="00173EEF" w:rsidRDefault="00173EEF">
      <w:pPr>
        <w:spacing w:line="288" w:lineRule="auto"/>
        <w:ind w:left="1417"/>
        <w:jc w:val="both"/>
        <w:rPr>
          <w:sz w:val="24"/>
        </w:rPr>
      </w:pPr>
    </w:p>
    <w:p w:rsidR="00173EEF" w:rsidRDefault="00173EEF">
      <w:pPr>
        <w:spacing w:line="288" w:lineRule="auto"/>
        <w:ind w:left="1417"/>
        <w:jc w:val="both"/>
        <w:rPr>
          <w:sz w:val="24"/>
        </w:rPr>
      </w:pPr>
    </w:p>
    <w:p w:rsidR="00173EEF" w:rsidRDefault="00597D53">
      <w:pPr>
        <w:spacing w:line="288" w:lineRule="auto"/>
        <w:ind w:left="1417"/>
        <w:jc w:val="both"/>
        <w:rPr>
          <w:sz w:val="24"/>
        </w:rPr>
      </w:pPr>
      <w:r>
        <w:rPr>
          <w:sz w:val="24"/>
        </w:rPr>
        <w:t>Holger K. Nielsen</w:t>
      </w:r>
    </w:p>
    <w:p w:rsidR="00173EEF" w:rsidRDefault="00173EEF" w:rsidP="00796F36">
      <w:pPr>
        <w:tabs>
          <w:tab w:val="left" w:pos="4680"/>
        </w:tabs>
        <w:spacing w:line="288" w:lineRule="auto"/>
        <w:ind w:left="1417"/>
        <w:jc w:val="both"/>
        <w:rPr>
          <w:sz w:val="24"/>
        </w:rPr>
      </w:pPr>
      <w:r>
        <w:rPr>
          <w:sz w:val="24"/>
        </w:rPr>
        <w:tab/>
        <w:t>/</w:t>
      </w:r>
      <w:r w:rsidR="00DF1370">
        <w:rPr>
          <w:sz w:val="24"/>
        </w:rPr>
        <w:t xml:space="preserve">Lene Skov Henningsen </w:t>
      </w:r>
    </w:p>
    <w:p w:rsidR="00173EEF" w:rsidRDefault="00173EEF">
      <w:pPr>
        <w:rPr>
          <w:sz w:val="24"/>
        </w:rPr>
      </w:pPr>
      <w:r>
        <w:rPr>
          <w:sz w:val="24"/>
        </w:rPr>
        <w:t xml:space="preserve">                         </w:t>
      </w:r>
    </w:p>
    <w:p w:rsidR="00173EEF" w:rsidRDefault="00173EEF">
      <w:pPr>
        <w:spacing w:line="288" w:lineRule="auto"/>
        <w:rPr>
          <w:sz w:val="24"/>
          <w:szCs w:val="16"/>
          <w:lang w:eastAsia="en-US"/>
        </w:rPr>
      </w:pPr>
      <w:r>
        <w:rPr>
          <w:b/>
          <w:bCs/>
          <w:sz w:val="24"/>
        </w:rPr>
        <w:t xml:space="preserve"> </w:t>
      </w:r>
    </w:p>
    <w:p w:rsidR="00173EEF" w:rsidRDefault="00173EEF">
      <w:pPr>
        <w:spacing w:line="288" w:lineRule="auto"/>
        <w:rPr>
          <w:sz w:val="24"/>
          <w:szCs w:val="16"/>
          <w:lang w:eastAsia="en-US"/>
        </w:rPr>
      </w:pPr>
    </w:p>
    <w:p w:rsidR="00173EEF" w:rsidRDefault="00173EEF">
      <w:pPr>
        <w:pStyle w:val="Sidehoved"/>
        <w:tabs>
          <w:tab w:val="clear" w:pos="4819"/>
          <w:tab w:val="clear" w:pos="9638"/>
        </w:tabs>
        <w:rPr>
          <w:sz w:val="24"/>
        </w:rPr>
      </w:pPr>
    </w:p>
    <w:p w:rsidR="00173EEF" w:rsidRDefault="00173EEF">
      <w:pPr>
        <w:rPr>
          <w:b/>
          <w:bCs/>
          <w:sz w:val="24"/>
        </w:rPr>
      </w:pPr>
    </w:p>
    <w:p w:rsidR="00173EEF" w:rsidRDefault="00173EEF">
      <w:pPr>
        <w:pStyle w:val="Brdtekst"/>
      </w:pPr>
      <w:r>
        <w:rPr>
          <w:sz w:val="24"/>
        </w:rPr>
        <w:br w:type="page"/>
      </w:r>
    </w:p>
    <w:p w:rsidR="00173EEF" w:rsidRPr="00DF1370" w:rsidRDefault="00DF1370" w:rsidP="00DF1370">
      <w:pPr>
        <w:pStyle w:val="Brdtekst"/>
      </w:pPr>
      <w:r>
        <w:t>Supplerende h</w:t>
      </w:r>
      <w:r w:rsidRPr="00DF1370">
        <w:t>øringsskema indeholdende høringssvar og kommentarer hertil vedrørende L 108 -forslag til lov om ændring af lov om afgift af elektricitet, lov om afgift af naturgas og bygas, lov om afgift af stenkul, brunkul og koks m.v. og lov om energiafgift af mineralolieprodukter m.v. (Fors</w:t>
      </w:r>
      <w:r w:rsidRPr="00DF1370">
        <w:t>y</w:t>
      </w:r>
      <w:r w:rsidRPr="00DF1370">
        <w:t>ningssikkerhedsafgift på fossile brændsler og afgiftslempelse for procesenergi).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00"/>
        <w:gridCol w:w="3056"/>
      </w:tblGrid>
      <w:tr w:rsidR="00A514C4" w:rsidRPr="00073677" w:rsidTr="00464354">
        <w:tc>
          <w:tcPr>
            <w:tcW w:w="2093" w:type="dxa"/>
            <w:shd w:val="clear" w:color="auto" w:fill="auto"/>
          </w:tcPr>
          <w:p w:rsidR="00DF1370" w:rsidRPr="00073677" w:rsidRDefault="00DF1370">
            <w:pPr>
              <w:rPr>
                <w:b/>
                <w:sz w:val="22"/>
                <w:szCs w:val="22"/>
              </w:rPr>
            </w:pPr>
            <w:r w:rsidRPr="00073677">
              <w:rPr>
                <w:b/>
                <w:sz w:val="22"/>
                <w:szCs w:val="22"/>
              </w:rPr>
              <w:t xml:space="preserve">Organisation </w:t>
            </w:r>
          </w:p>
        </w:tc>
        <w:tc>
          <w:tcPr>
            <w:tcW w:w="3900" w:type="dxa"/>
            <w:shd w:val="clear" w:color="auto" w:fill="auto"/>
          </w:tcPr>
          <w:p w:rsidR="00DF1370" w:rsidRPr="00073677" w:rsidRDefault="00DF1370">
            <w:pPr>
              <w:rPr>
                <w:b/>
                <w:sz w:val="22"/>
                <w:szCs w:val="22"/>
              </w:rPr>
            </w:pPr>
            <w:r w:rsidRPr="00073677">
              <w:rPr>
                <w:b/>
                <w:sz w:val="22"/>
                <w:szCs w:val="22"/>
              </w:rPr>
              <w:t xml:space="preserve">Bemærkninger </w:t>
            </w:r>
          </w:p>
        </w:tc>
        <w:tc>
          <w:tcPr>
            <w:tcW w:w="3056" w:type="dxa"/>
            <w:shd w:val="clear" w:color="auto" w:fill="auto"/>
          </w:tcPr>
          <w:p w:rsidR="00DF1370" w:rsidRPr="00073677" w:rsidRDefault="00DF1370">
            <w:pPr>
              <w:rPr>
                <w:b/>
                <w:sz w:val="22"/>
                <w:szCs w:val="22"/>
              </w:rPr>
            </w:pPr>
            <w:r w:rsidRPr="00073677">
              <w:rPr>
                <w:b/>
                <w:sz w:val="22"/>
                <w:szCs w:val="22"/>
              </w:rPr>
              <w:t>Kommentarer</w:t>
            </w:r>
          </w:p>
        </w:tc>
      </w:tr>
      <w:tr w:rsidR="00A514C4" w:rsidRPr="00073677" w:rsidTr="00464354">
        <w:tc>
          <w:tcPr>
            <w:tcW w:w="2093" w:type="dxa"/>
            <w:shd w:val="clear" w:color="auto" w:fill="auto"/>
          </w:tcPr>
          <w:p w:rsidR="00DF1370" w:rsidRPr="00073677" w:rsidRDefault="00A514C4">
            <w:pPr>
              <w:rPr>
                <w:sz w:val="22"/>
                <w:szCs w:val="22"/>
              </w:rPr>
            </w:pPr>
            <w:r w:rsidRPr="00073677">
              <w:rPr>
                <w:sz w:val="22"/>
                <w:szCs w:val="22"/>
              </w:rPr>
              <w:t>Dansk Erhverv</w:t>
            </w:r>
          </w:p>
        </w:tc>
        <w:tc>
          <w:tcPr>
            <w:tcW w:w="3900" w:type="dxa"/>
            <w:shd w:val="clear" w:color="auto" w:fill="auto"/>
          </w:tcPr>
          <w:p w:rsidR="007840E3" w:rsidRPr="00073677" w:rsidRDefault="007840E3" w:rsidP="007840E3">
            <w:pPr>
              <w:rPr>
                <w:sz w:val="22"/>
                <w:szCs w:val="22"/>
              </w:rPr>
            </w:pPr>
            <w:r w:rsidRPr="00073677">
              <w:rPr>
                <w:sz w:val="22"/>
                <w:szCs w:val="22"/>
              </w:rPr>
              <w:t>Dansk Erhverv beklage</w:t>
            </w:r>
            <w:r w:rsidR="000820AD" w:rsidRPr="00073677">
              <w:rPr>
                <w:sz w:val="22"/>
                <w:szCs w:val="22"/>
              </w:rPr>
              <w:t>r indledningsvis</w:t>
            </w:r>
            <w:r w:rsidRPr="00073677">
              <w:rPr>
                <w:sz w:val="22"/>
                <w:szCs w:val="22"/>
              </w:rPr>
              <w:t xml:space="preserve"> den uacceptabelt korte høringsfrist på i bedste fald</w:t>
            </w:r>
            <w:r w:rsidR="000820AD" w:rsidRPr="00073677">
              <w:rPr>
                <w:sz w:val="22"/>
                <w:szCs w:val="22"/>
              </w:rPr>
              <w:t xml:space="preserve"> </w:t>
            </w:r>
            <w:r w:rsidRPr="00073677">
              <w:rPr>
                <w:sz w:val="22"/>
                <w:szCs w:val="22"/>
              </w:rPr>
              <w:t>otte arbejdsdage midt i en f</w:t>
            </w:r>
            <w:r w:rsidRPr="00073677">
              <w:rPr>
                <w:sz w:val="22"/>
                <w:szCs w:val="22"/>
              </w:rPr>
              <w:t>e</w:t>
            </w:r>
            <w:r w:rsidRPr="00073677">
              <w:rPr>
                <w:sz w:val="22"/>
                <w:szCs w:val="22"/>
              </w:rPr>
              <w:t>rieperiode, hvilket virker helt unødvendig kort med tanke på, at lov</w:t>
            </w:r>
            <w:r w:rsidR="000820AD" w:rsidRPr="00073677">
              <w:rPr>
                <w:sz w:val="22"/>
                <w:szCs w:val="22"/>
              </w:rPr>
              <w:t>forsla</w:t>
            </w:r>
            <w:r w:rsidRPr="00073677">
              <w:rPr>
                <w:sz w:val="22"/>
                <w:szCs w:val="22"/>
              </w:rPr>
              <w:t>get ikke indgår som en del af finansloven eller lignende. Den korte frist gør det vansk</w:t>
            </w:r>
            <w:r w:rsidRPr="00073677">
              <w:rPr>
                <w:sz w:val="22"/>
                <w:szCs w:val="22"/>
              </w:rPr>
              <w:t>e</w:t>
            </w:r>
            <w:r w:rsidRPr="00073677">
              <w:rPr>
                <w:sz w:val="22"/>
                <w:szCs w:val="22"/>
              </w:rPr>
              <w:t>ligt at indhente</w:t>
            </w:r>
            <w:r w:rsidR="000820AD" w:rsidRPr="00073677">
              <w:rPr>
                <w:sz w:val="22"/>
                <w:szCs w:val="22"/>
              </w:rPr>
              <w:t xml:space="preserve"> de nødvendige </w:t>
            </w:r>
            <w:r w:rsidRPr="00073677">
              <w:rPr>
                <w:sz w:val="22"/>
                <w:szCs w:val="22"/>
              </w:rPr>
              <w:t>brugba</w:t>
            </w:r>
            <w:r w:rsidR="000820AD" w:rsidRPr="00073677">
              <w:rPr>
                <w:sz w:val="22"/>
                <w:szCs w:val="22"/>
              </w:rPr>
              <w:t xml:space="preserve">re bidrag. </w:t>
            </w:r>
          </w:p>
          <w:p w:rsidR="00042504" w:rsidRPr="00073677" w:rsidRDefault="007840E3" w:rsidP="007840E3">
            <w:pPr>
              <w:rPr>
                <w:sz w:val="22"/>
                <w:szCs w:val="22"/>
              </w:rPr>
            </w:pPr>
            <w:r w:rsidRPr="00073677">
              <w:rPr>
                <w:sz w:val="22"/>
                <w:szCs w:val="22"/>
              </w:rPr>
              <w:t>Dansk Erhverv anerkender, at det har selvstændig positiv betydning med bred politisk enighed om d</w:t>
            </w:r>
            <w:r w:rsidR="000820AD" w:rsidRPr="00073677">
              <w:rPr>
                <w:sz w:val="22"/>
                <w:szCs w:val="22"/>
              </w:rPr>
              <w:t xml:space="preserve">e </w:t>
            </w:r>
            <w:r w:rsidR="00042504" w:rsidRPr="00073677">
              <w:rPr>
                <w:sz w:val="22"/>
                <w:szCs w:val="22"/>
              </w:rPr>
              <w:t xml:space="preserve">kommende års energipolitik grundet </w:t>
            </w:r>
            <w:r w:rsidRPr="00073677">
              <w:rPr>
                <w:sz w:val="22"/>
                <w:szCs w:val="22"/>
              </w:rPr>
              <w:t xml:space="preserve">energiinvesteringer </w:t>
            </w:r>
            <w:r w:rsidR="00042504" w:rsidRPr="00073677">
              <w:rPr>
                <w:sz w:val="22"/>
                <w:szCs w:val="22"/>
              </w:rPr>
              <w:t xml:space="preserve">ofte lange </w:t>
            </w:r>
            <w:r w:rsidRPr="00073677">
              <w:rPr>
                <w:sz w:val="22"/>
                <w:szCs w:val="22"/>
              </w:rPr>
              <w:t>tidshorisont</w:t>
            </w:r>
            <w:r w:rsidR="00042504" w:rsidRPr="00073677">
              <w:rPr>
                <w:sz w:val="22"/>
                <w:szCs w:val="22"/>
              </w:rPr>
              <w:t xml:space="preserve">. </w:t>
            </w:r>
          </w:p>
          <w:p w:rsidR="007840E3" w:rsidRPr="00073677" w:rsidRDefault="007840E3" w:rsidP="007840E3">
            <w:pPr>
              <w:rPr>
                <w:sz w:val="22"/>
                <w:szCs w:val="22"/>
              </w:rPr>
            </w:pPr>
            <w:r w:rsidRPr="00073677">
              <w:rPr>
                <w:sz w:val="22"/>
                <w:szCs w:val="22"/>
              </w:rPr>
              <w:t>Dansk Erhverv anerken</w:t>
            </w:r>
            <w:r w:rsidR="000820AD" w:rsidRPr="00073677">
              <w:rPr>
                <w:sz w:val="22"/>
                <w:szCs w:val="22"/>
              </w:rPr>
              <w:t>der ligele</w:t>
            </w:r>
            <w:r w:rsidRPr="00073677">
              <w:rPr>
                <w:sz w:val="22"/>
                <w:szCs w:val="22"/>
              </w:rPr>
              <w:t>des, at energiaftalen fra 2012 også for servic</w:t>
            </w:r>
            <w:r w:rsidRPr="00073677">
              <w:rPr>
                <w:sz w:val="22"/>
                <w:szCs w:val="22"/>
              </w:rPr>
              <w:t>e</w:t>
            </w:r>
            <w:r w:rsidRPr="00073677">
              <w:rPr>
                <w:sz w:val="22"/>
                <w:szCs w:val="22"/>
              </w:rPr>
              <w:t>sektoren rummer forretningsmuligheder dels i eksporten</w:t>
            </w:r>
            <w:r w:rsidR="000820AD" w:rsidRPr="00073677">
              <w:rPr>
                <w:sz w:val="22"/>
                <w:szCs w:val="22"/>
              </w:rPr>
              <w:t xml:space="preserve"> </w:t>
            </w:r>
            <w:r w:rsidRPr="00073677">
              <w:rPr>
                <w:sz w:val="22"/>
                <w:szCs w:val="22"/>
              </w:rPr>
              <w:t>og dels på hjemmema</w:t>
            </w:r>
            <w:r w:rsidRPr="00073677">
              <w:rPr>
                <w:sz w:val="22"/>
                <w:szCs w:val="22"/>
              </w:rPr>
              <w:t>r</w:t>
            </w:r>
            <w:r w:rsidR="00A91A9C" w:rsidRPr="00073677">
              <w:rPr>
                <w:sz w:val="22"/>
                <w:szCs w:val="22"/>
              </w:rPr>
              <w:t xml:space="preserve">kedet. </w:t>
            </w:r>
          </w:p>
          <w:p w:rsidR="007840E3" w:rsidRPr="00073677" w:rsidRDefault="007840E3" w:rsidP="007840E3">
            <w:pPr>
              <w:rPr>
                <w:sz w:val="22"/>
                <w:szCs w:val="22"/>
              </w:rPr>
            </w:pPr>
            <w:r w:rsidRPr="00073677">
              <w:rPr>
                <w:sz w:val="22"/>
                <w:szCs w:val="22"/>
              </w:rPr>
              <w:t>På bundlinjen kan energiaftalen fra 2012 også meget vel rumme et betydeligt b</w:t>
            </w:r>
            <w:r w:rsidRPr="00073677">
              <w:rPr>
                <w:sz w:val="22"/>
                <w:szCs w:val="22"/>
              </w:rPr>
              <w:t>e</w:t>
            </w:r>
            <w:r w:rsidRPr="00073677">
              <w:rPr>
                <w:sz w:val="22"/>
                <w:szCs w:val="22"/>
              </w:rPr>
              <w:t>skæftigelsespotentia</w:t>
            </w:r>
            <w:r w:rsidR="00A91A9C" w:rsidRPr="00073677">
              <w:rPr>
                <w:sz w:val="22"/>
                <w:szCs w:val="22"/>
              </w:rPr>
              <w:t xml:space="preserve">le. </w:t>
            </w:r>
            <w:r w:rsidR="00464354" w:rsidRPr="00073677">
              <w:rPr>
                <w:sz w:val="22"/>
                <w:szCs w:val="22"/>
              </w:rPr>
              <w:t xml:space="preserve">Men aftalen sikrer ikke en </w:t>
            </w:r>
            <w:r w:rsidRPr="00073677">
              <w:rPr>
                <w:sz w:val="22"/>
                <w:szCs w:val="22"/>
              </w:rPr>
              <w:t>større ligestilling mellem e</w:t>
            </w:r>
            <w:r w:rsidRPr="00073677">
              <w:rPr>
                <w:sz w:val="22"/>
                <w:szCs w:val="22"/>
              </w:rPr>
              <w:t>r</w:t>
            </w:r>
            <w:r w:rsidRPr="00073677">
              <w:rPr>
                <w:sz w:val="22"/>
                <w:szCs w:val="22"/>
              </w:rPr>
              <w:t>hvervslivets forskellige sektorer. Endnu engang indbygges særlige hensyn</w:t>
            </w:r>
            <w:r w:rsidR="000820AD" w:rsidRPr="00073677">
              <w:rPr>
                <w:sz w:val="22"/>
                <w:szCs w:val="22"/>
              </w:rPr>
              <w:t xml:space="preserve"> </w:t>
            </w:r>
            <w:r w:rsidRPr="00073677">
              <w:rPr>
                <w:sz w:val="22"/>
                <w:szCs w:val="22"/>
              </w:rPr>
              <w:t>og fr</w:t>
            </w:r>
            <w:r w:rsidRPr="00073677">
              <w:rPr>
                <w:sz w:val="22"/>
                <w:szCs w:val="22"/>
              </w:rPr>
              <w:t>i</w:t>
            </w:r>
            <w:r w:rsidRPr="00073677">
              <w:rPr>
                <w:sz w:val="22"/>
                <w:szCs w:val="22"/>
              </w:rPr>
              <w:t>tagelser til erhverv som tung industri og gartnerier på bekostning af service- og turismesektoren.</w:t>
            </w:r>
          </w:p>
          <w:p w:rsidR="007840E3" w:rsidRPr="00073677" w:rsidRDefault="007840E3" w:rsidP="007840E3">
            <w:pPr>
              <w:rPr>
                <w:sz w:val="22"/>
                <w:szCs w:val="22"/>
              </w:rPr>
            </w:pPr>
            <w:r w:rsidRPr="00073677">
              <w:rPr>
                <w:sz w:val="22"/>
                <w:szCs w:val="22"/>
              </w:rPr>
              <w:t xml:space="preserve">Forurenende adfærd burde på sigt ideelt set beskattes ens på tværs af sektorer. </w:t>
            </w:r>
          </w:p>
          <w:p w:rsidR="007840E3" w:rsidRPr="00073677" w:rsidRDefault="007840E3" w:rsidP="007840E3">
            <w:pPr>
              <w:rPr>
                <w:sz w:val="22"/>
                <w:szCs w:val="22"/>
              </w:rPr>
            </w:pPr>
            <w:r w:rsidRPr="001E3E44">
              <w:rPr>
                <w:sz w:val="22"/>
                <w:szCs w:val="22"/>
              </w:rPr>
              <w:t>Energiaftalen</w:t>
            </w:r>
            <w:r w:rsidRPr="00073677">
              <w:rPr>
                <w:sz w:val="22"/>
                <w:szCs w:val="22"/>
              </w:rPr>
              <w:t xml:space="preserve"> i almindelighed – og fors</w:t>
            </w:r>
            <w:r w:rsidRPr="00073677">
              <w:rPr>
                <w:sz w:val="22"/>
                <w:szCs w:val="22"/>
              </w:rPr>
              <w:t>y</w:t>
            </w:r>
            <w:r w:rsidRPr="00073677">
              <w:rPr>
                <w:sz w:val="22"/>
                <w:szCs w:val="22"/>
              </w:rPr>
              <w:t xml:space="preserve">ningssikkerhedsafgiften i særdeleshed - fastholder en meget traditionel og </w:t>
            </w:r>
            <w:proofErr w:type="spellStart"/>
            <w:r w:rsidRPr="00073677">
              <w:rPr>
                <w:sz w:val="22"/>
                <w:szCs w:val="22"/>
              </w:rPr>
              <w:t>ba</w:t>
            </w:r>
            <w:r w:rsidR="001E3E44">
              <w:rPr>
                <w:sz w:val="22"/>
                <w:szCs w:val="22"/>
              </w:rPr>
              <w:t>g</w:t>
            </w:r>
            <w:r w:rsidRPr="00073677">
              <w:rPr>
                <w:sz w:val="22"/>
                <w:szCs w:val="22"/>
              </w:rPr>
              <w:t>udskuende</w:t>
            </w:r>
            <w:proofErr w:type="spellEnd"/>
            <w:r w:rsidRPr="00073677">
              <w:rPr>
                <w:sz w:val="22"/>
                <w:szCs w:val="22"/>
              </w:rPr>
              <w:t xml:space="preserve"> opfattelse af, hvilke erhverv, der er internationalt konkurrenceudsatte.</w:t>
            </w:r>
          </w:p>
          <w:p w:rsidR="007840E3" w:rsidRDefault="007840E3" w:rsidP="007840E3">
            <w:pPr>
              <w:rPr>
                <w:sz w:val="22"/>
                <w:szCs w:val="22"/>
              </w:rPr>
            </w:pPr>
            <w:r w:rsidRPr="00073677">
              <w:rPr>
                <w:sz w:val="22"/>
                <w:szCs w:val="22"/>
              </w:rPr>
              <w:t>Særligt savner Dansk Erhverv fokus på servicesektorens, oplevelsesøkonomiens og turismens energipolitiske rammevi</w:t>
            </w:r>
            <w:r w:rsidRPr="00073677">
              <w:rPr>
                <w:sz w:val="22"/>
                <w:szCs w:val="22"/>
              </w:rPr>
              <w:t>l</w:t>
            </w:r>
            <w:r w:rsidRPr="00073677">
              <w:rPr>
                <w:sz w:val="22"/>
                <w:szCs w:val="22"/>
              </w:rPr>
              <w:t xml:space="preserve">kår. </w:t>
            </w:r>
          </w:p>
          <w:p w:rsidR="005B36A7" w:rsidRDefault="005B36A7" w:rsidP="007840E3">
            <w:pPr>
              <w:rPr>
                <w:sz w:val="22"/>
                <w:szCs w:val="22"/>
              </w:rPr>
            </w:pPr>
          </w:p>
          <w:p w:rsidR="005B36A7" w:rsidRDefault="005B36A7" w:rsidP="007840E3">
            <w:pPr>
              <w:rPr>
                <w:sz w:val="22"/>
                <w:szCs w:val="22"/>
              </w:rPr>
            </w:pPr>
          </w:p>
          <w:p w:rsidR="005B36A7" w:rsidRDefault="005B36A7" w:rsidP="007840E3">
            <w:pPr>
              <w:rPr>
                <w:sz w:val="22"/>
                <w:szCs w:val="22"/>
              </w:rPr>
            </w:pPr>
          </w:p>
          <w:p w:rsidR="005B36A7" w:rsidRDefault="005B36A7" w:rsidP="007840E3">
            <w:pPr>
              <w:rPr>
                <w:sz w:val="22"/>
                <w:szCs w:val="22"/>
              </w:rPr>
            </w:pPr>
          </w:p>
          <w:p w:rsidR="005B36A7" w:rsidRDefault="005B36A7" w:rsidP="007840E3">
            <w:pPr>
              <w:rPr>
                <w:sz w:val="22"/>
                <w:szCs w:val="22"/>
              </w:rPr>
            </w:pPr>
          </w:p>
          <w:p w:rsidR="009C4B00" w:rsidRDefault="009C4B00" w:rsidP="007840E3">
            <w:pPr>
              <w:rPr>
                <w:sz w:val="22"/>
                <w:szCs w:val="22"/>
              </w:rPr>
            </w:pPr>
          </w:p>
          <w:p w:rsidR="005B36A7" w:rsidRDefault="005B36A7" w:rsidP="007840E3">
            <w:pPr>
              <w:rPr>
                <w:sz w:val="22"/>
                <w:szCs w:val="22"/>
              </w:rPr>
            </w:pPr>
          </w:p>
          <w:p w:rsidR="00A52574" w:rsidRDefault="00A52574" w:rsidP="007840E3">
            <w:pPr>
              <w:rPr>
                <w:sz w:val="22"/>
                <w:szCs w:val="22"/>
              </w:rPr>
            </w:pPr>
          </w:p>
          <w:p w:rsidR="00A52574" w:rsidRDefault="00A52574" w:rsidP="007840E3">
            <w:pPr>
              <w:rPr>
                <w:sz w:val="22"/>
                <w:szCs w:val="22"/>
              </w:rPr>
            </w:pPr>
          </w:p>
          <w:p w:rsidR="00A52574" w:rsidRDefault="00A52574" w:rsidP="007840E3">
            <w:pPr>
              <w:rPr>
                <w:sz w:val="22"/>
                <w:szCs w:val="22"/>
              </w:rPr>
            </w:pPr>
          </w:p>
          <w:p w:rsidR="00A52574" w:rsidRDefault="00A52574" w:rsidP="007840E3">
            <w:pPr>
              <w:rPr>
                <w:sz w:val="22"/>
                <w:szCs w:val="22"/>
              </w:rPr>
            </w:pPr>
          </w:p>
          <w:p w:rsidR="005B36A7" w:rsidRPr="00073677" w:rsidRDefault="005B36A7" w:rsidP="007840E3">
            <w:pPr>
              <w:rPr>
                <w:sz w:val="22"/>
                <w:szCs w:val="22"/>
              </w:rPr>
            </w:pPr>
          </w:p>
          <w:p w:rsidR="00A91A9C" w:rsidRPr="00073677" w:rsidRDefault="00A91A9C" w:rsidP="007840E3">
            <w:pPr>
              <w:rPr>
                <w:i/>
                <w:sz w:val="22"/>
                <w:szCs w:val="22"/>
              </w:rPr>
            </w:pPr>
            <w:r w:rsidRPr="00073677">
              <w:rPr>
                <w:i/>
                <w:sz w:val="22"/>
                <w:szCs w:val="22"/>
              </w:rPr>
              <w:t>Specielle bemærkninger til L 108</w:t>
            </w:r>
          </w:p>
          <w:p w:rsidR="005B36A7" w:rsidRPr="00073677" w:rsidRDefault="007840E3" w:rsidP="007840E3">
            <w:pPr>
              <w:rPr>
                <w:sz w:val="22"/>
                <w:szCs w:val="22"/>
              </w:rPr>
            </w:pPr>
            <w:r w:rsidRPr="00073677">
              <w:rPr>
                <w:sz w:val="22"/>
                <w:szCs w:val="22"/>
              </w:rPr>
              <w:t>Dansk Erhverv beklager, at det er ha</w:t>
            </w:r>
            <w:r w:rsidRPr="00073677">
              <w:rPr>
                <w:sz w:val="22"/>
                <w:szCs w:val="22"/>
              </w:rPr>
              <w:t>n</w:t>
            </w:r>
            <w:r w:rsidRPr="00073677">
              <w:rPr>
                <w:sz w:val="22"/>
                <w:szCs w:val="22"/>
              </w:rPr>
              <w:t xml:space="preserve">dels-, service- og turismesektoren, der skal finansiere </w:t>
            </w:r>
            <w:r w:rsidR="00A91A9C" w:rsidRPr="00073677">
              <w:rPr>
                <w:sz w:val="22"/>
                <w:szCs w:val="22"/>
              </w:rPr>
              <w:t>industriens</w:t>
            </w:r>
            <w:r w:rsidRPr="00073677">
              <w:rPr>
                <w:sz w:val="22"/>
                <w:szCs w:val="22"/>
              </w:rPr>
              <w:t xml:space="preserve"> proceslempe</w:t>
            </w:r>
            <w:r w:rsidRPr="00073677">
              <w:rPr>
                <w:sz w:val="22"/>
                <w:szCs w:val="22"/>
              </w:rPr>
              <w:t>l</w:t>
            </w:r>
            <w:r w:rsidRPr="00073677">
              <w:rPr>
                <w:sz w:val="22"/>
                <w:szCs w:val="22"/>
              </w:rPr>
              <w:t>se ved, at der indføres denne nye såkaldte forsyni</w:t>
            </w:r>
            <w:r w:rsidR="005B36A7">
              <w:rPr>
                <w:sz w:val="22"/>
                <w:szCs w:val="22"/>
              </w:rPr>
              <w:t>ngssikkerhedsafgift på rumvarme.</w:t>
            </w:r>
          </w:p>
          <w:p w:rsidR="007840E3" w:rsidRPr="00073677" w:rsidRDefault="00A91A9C" w:rsidP="007840E3">
            <w:pPr>
              <w:rPr>
                <w:sz w:val="22"/>
                <w:szCs w:val="22"/>
              </w:rPr>
            </w:pPr>
            <w:r w:rsidRPr="00073677">
              <w:rPr>
                <w:sz w:val="22"/>
                <w:szCs w:val="22"/>
              </w:rPr>
              <w:t xml:space="preserve">Afgiften har mere </w:t>
            </w:r>
            <w:r w:rsidR="007840E3" w:rsidRPr="00073677">
              <w:rPr>
                <w:sz w:val="22"/>
                <w:szCs w:val="22"/>
              </w:rPr>
              <w:t>med rent fiskale he</w:t>
            </w:r>
            <w:r w:rsidR="007840E3" w:rsidRPr="00073677">
              <w:rPr>
                <w:sz w:val="22"/>
                <w:szCs w:val="22"/>
              </w:rPr>
              <w:t>n</w:t>
            </w:r>
            <w:r w:rsidR="007840E3" w:rsidRPr="00073677">
              <w:rPr>
                <w:sz w:val="22"/>
                <w:szCs w:val="22"/>
              </w:rPr>
              <w:t>syn og selektiv erhvervspolitik at gøre end med forsyningssikkerhed. Afgiften fører tilmed til en ganske voldsom samlet afgiftsstigning på i gennemsnit hele 17 pct. allerede her i 2013.</w:t>
            </w:r>
          </w:p>
          <w:p w:rsidR="007840E3" w:rsidRPr="00073677" w:rsidRDefault="00A91A9C" w:rsidP="007840E3">
            <w:pPr>
              <w:rPr>
                <w:sz w:val="22"/>
                <w:szCs w:val="22"/>
              </w:rPr>
            </w:pPr>
            <w:r w:rsidRPr="00073677">
              <w:rPr>
                <w:sz w:val="22"/>
                <w:szCs w:val="22"/>
              </w:rPr>
              <w:t>O</w:t>
            </w:r>
            <w:r w:rsidR="007840E3" w:rsidRPr="00073677">
              <w:rPr>
                <w:sz w:val="22"/>
                <w:szCs w:val="22"/>
              </w:rPr>
              <w:t xml:space="preserve">vernatningsbranchen indenfor turisme </w:t>
            </w:r>
            <w:r w:rsidRPr="00073677">
              <w:rPr>
                <w:sz w:val="22"/>
                <w:szCs w:val="22"/>
              </w:rPr>
              <w:t>vil</w:t>
            </w:r>
            <w:r w:rsidR="007840E3" w:rsidRPr="00073677">
              <w:rPr>
                <w:sz w:val="22"/>
                <w:szCs w:val="22"/>
              </w:rPr>
              <w:t xml:space="preserve"> svækkes yderligere i et uhyre presset og internationalt </w:t>
            </w:r>
            <w:proofErr w:type="spellStart"/>
            <w:r w:rsidR="007840E3" w:rsidRPr="00A24989">
              <w:rPr>
                <w:sz w:val="22"/>
                <w:szCs w:val="22"/>
              </w:rPr>
              <w:t>kompet</w:t>
            </w:r>
            <w:r w:rsidR="00073677" w:rsidRPr="00A24989">
              <w:rPr>
                <w:sz w:val="22"/>
                <w:szCs w:val="22"/>
              </w:rPr>
              <w:t>i</w:t>
            </w:r>
            <w:r w:rsidRPr="00A24989">
              <w:rPr>
                <w:sz w:val="22"/>
                <w:szCs w:val="22"/>
              </w:rPr>
              <w:t>tivt</w:t>
            </w:r>
            <w:proofErr w:type="spellEnd"/>
            <w:r w:rsidRPr="00073677">
              <w:rPr>
                <w:sz w:val="22"/>
                <w:szCs w:val="22"/>
              </w:rPr>
              <w:t xml:space="preserve"> marked. L</w:t>
            </w:r>
            <w:r w:rsidR="007840E3" w:rsidRPr="00073677">
              <w:rPr>
                <w:sz w:val="22"/>
                <w:szCs w:val="22"/>
              </w:rPr>
              <w:t xml:space="preserve"> L108 vil indebære tab af turisme – he</w:t>
            </w:r>
            <w:r w:rsidR="007840E3" w:rsidRPr="00073677">
              <w:rPr>
                <w:sz w:val="22"/>
                <w:szCs w:val="22"/>
              </w:rPr>
              <w:t>r</w:t>
            </w:r>
            <w:r w:rsidR="007840E3" w:rsidRPr="00073677">
              <w:rPr>
                <w:sz w:val="22"/>
                <w:szCs w:val="22"/>
              </w:rPr>
              <w:t xml:space="preserve">under erhvervsturisme – til nabolandene. </w:t>
            </w:r>
            <w:r w:rsidR="00884FE0" w:rsidRPr="00073677">
              <w:rPr>
                <w:sz w:val="22"/>
                <w:szCs w:val="22"/>
              </w:rPr>
              <w:t>Specielt set i forhold til afgiftsbelastni</w:t>
            </w:r>
            <w:r w:rsidR="00884FE0" w:rsidRPr="00073677">
              <w:rPr>
                <w:sz w:val="22"/>
                <w:szCs w:val="22"/>
              </w:rPr>
              <w:t>n</w:t>
            </w:r>
            <w:r w:rsidR="00884FE0" w:rsidRPr="00073677">
              <w:rPr>
                <w:sz w:val="22"/>
                <w:szCs w:val="22"/>
              </w:rPr>
              <w:t xml:space="preserve">gen i </w:t>
            </w:r>
            <w:r w:rsidR="007840E3" w:rsidRPr="00073677">
              <w:rPr>
                <w:sz w:val="22"/>
                <w:szCs w:val="22"/>
              </w:rPr>
              <w:t xml:space="preserve">Tyskland </w:t>
            </w:r>
            <w:r w:rsidR="00884FE0" w:rsidRPr="00073677">
              <w:rPr>
                <w:sz w:val="22"/>
                <w:szCs w:val="22"/>
              </w:rPr>
              <w:t>og Sverige.</w:t>
            </w:r>
          </w:p>
          <w:p w:rsidR="007840E3" w:rsidRPr="00073677" w:rsidRDefault="00442244" w:rsidP="007840E3">
            <w:pPr>
              <w:rPr>
                <w:sz w:val="22"/>
                <w:szCs w:val="22"/>
              </w:rPr>
            </w:pPr>
            <w:r w:rsidRPr="00073677">
              <w:rPr>
                <w:sz w:val="22"/>
                <w:szCs w:val="22"/>
              </w:rPr>
              <w:t>En</w:t>
            </w:r>
            <w:r w:rsidR="007840E3" w:rsidRPr="00073677">
              <w:rPr>
                <w:sz w:val="22"/>
                <w:szCs w:val="22"/>
              </w:rPr>
              <w:t xml:space="preserve"> ny forsyningssikkerhedsafgift på f. eks. fyringsolie til op</w:t>
            </w:r>
            <w:r w:rsidRPr="00073677">
              <w:rPr>
                <w:sz w:val="22"/>
                <w:szCs w:val="22"/>
              </w:rPr>
              <w:t xml:space="preserve">varmning </w:t>
            </w:r>
            <w:r w:rsidR="007840E3" w:rsidRPr="00073677">
              <w:rPr>
                <w:sz w:val="22"/>
                <w:szCs w:val="22"/>
              </w:rPr>
              <w:t>vil ramme detailhandlens butikslokaler</w:t>
            </w:r>
            <w:r w:rsidRPr="00073677">
              <w:rPr>
                <w:sz w:val="22"/>
                <w:szCs w:val="22"/>
              </w:rPr>
              <w:t xml:space="preserve">, </w:t>
            </w:r>
            <w:r w:rsidR="007840E3" w:rsidRPr="00073677">
              <w:rPr>
                <w:sz w:val="22"/>
                <w:szCs w:val="22"/>
              </w:rPr>
              <w:t>transpor</w:t>
            </w:r>
            <w:r w:rsidR="007840E3" w:rsidRPr="00073677">
              <w:rPr>
                <w:sz w:val="22"/>
                <w:szCs w:val="22"/>
              </w:rPr>
              <w:t>t</w:t>
            </w:r>
            <w:r w:rsidR="007840E3" w:rsidRPr="00073677">
              <w:rPr>
                <w:sz w:val="22"/>
                <w:szCs w:val="22"/>
              </w:rPr>
              <w:t>branche</w:t>
            </w:r>
            <w:r w:rsidRPr="00073677">
              <w:rPr>
                <w:sz w:val="22"/>
                <w:szCs w:val="22"/>
              </w:rPr>
              <w:t>n</w:t>
            </w:r>
            <w:r w:rsidR="007840E3" w:rsidRPr="00073677">
              <w:rPr>
                <w:sz w:val="22"/>
                <w:szCs w:val="22"/>
              </w:rPr>
              <w:t xml:space="preserve"> og de virksomheder, som har bygninger til personale eller godster</w:t>
            </w:r>
            <w:r w:rsidRPr="00073677">
              <w:rPr>
                <w:sz w:val="22"/>
                <w:szCs w:val="22"/>
              </w:rPr>
              <w:t>m</w:t>
            </w:r>
            <w:r w:rsidRPr="00073677">
              <w:rPr>
                <w:sz w:val="22"/>
                <w:szCs w:val="22"/>
              </w:rPr>
              <w:t>i</w:t>
            </w:r>
            <w:r w:rsidRPr="00073677">
              <w:rPr>
                <w:sz w:val="22"/>
                <w:szCs w:val="22"/>
              </w:rPr>
              <w:t xml:space="preserve">naler mm. </w:t>
            </w:r>
            <w:r w:rsidR="007840E3" w:rsidRPr="00073677">
              <w:rPr>
                <w:sz w:val="22"/>
                <w:szCs w:val="22"/>
              </w:rPr>
              <w:t>De pågældende virksomheder vil ikke have mulighed for kompensation via proceslempelsen, som først og fre</w:t>
            </w:r>
            <w:r w:rsidR="007840E3" w:rsidRPr="00073677">
              <w:rPr>
                <w:sz w:val="22"/>
                <w:szCs w:val="22"/>
              </w:rPr>
              <w:t>m</w:t>
            </w:r>
            <w:r w:rsidR="007840E3" w:rsidRPr="00073677">
              <w:rPr>
                <w:sz w:val="22"/>
                <w:szCs w:val="22"/>
              </w:rPr>
              <w:t>mest kommer industrisektoren til gode. Dansk Erhvervs ønske</w:t>
            </w:r>
            <w:r w:rsidRPr="00073677">
              <w:rPr>
                <w:sz w:val="22"/>
                <w:szCs w:val="22"/>
              </w:rPr>
              <w:t>r</w:t>
            </w:r>
            <w:r w:rsidR="007840E3" w:rsidRPr="00073677">
              <w:rPr>
                <w:sz w:val="22"/>
                <w:szCs w:val="22"/>
              </w:rPr>
              <w:t xml:space="preserve"> på sigt mere se</w:t>
            </w:r>
            <w:r w:rsidR="007840E3" w:rsidRPr="00073677">
              <w:rPr>
                <w:sz w:val="22"/>
                <w:szCs w:val="22"/>
              </w:rPr>
              <w:t>k</w:t>
            </w:r>
            <w:r w:rsidR="007840E3" w:rsidRPr="00073677">
              <w:rPr>
                <w:sz w:val="22"/>
                <w:szCs w:val="22"/>
              </w:rPr>
              <w:t>torneutral energibeskatning.</w:t>
            </w:r>
          </w:p>
          <w:p w:rsidR="007840E3" w:rsidRPr="00073677" w:rsidRDefault="007840E3" w:rsidP="007840E3">
            <w:pPr>
              <w:rPr>
                <w:sz w:val="22"/>
                <w:szCs w:val="22"/>
              </w:rPr>
            </w:pPr>
            <w:r w:rsidRPr="00073677">
              <w:rPr>
                <w:sz w:val="22"/>
                <w:szCs w:val="22"/>
              </w:rPr>
              <w:t>Dansk Erhverv opfordre</w:t>
            </w:r>
            <w:r w:rsidR="009155EC" w:rsidRPr="00073677">
              <w:rPr>
                <w:sz w:val="22"/>
                <w:szCs w:val="22"/>
              </w:rPr>
              <w:t>r</w:t>
            </w:r>
            <w:r w:rsidRPr="00073677">
              <w:rPr>
                <w:sz w:val="22"/>
                <w:szCs w:val="22"/>
              </w:rPr>
              <w:t xml:space="preserve"> til, at netop branchernes afgiftsmæssige belastning pr. forbrugt energienhed kommer i fokus, når der – som et af de mest positive el</w:t>
            </w:r>
            <w:r w:rsidRPr="00073677">
              <w:rPr>
                <w:sz w:val="22"/>
                <w:szCs w:val="22"/>
              </w:rPr>
              <w:t>e</w:t>
            </w:r>
            <w:r w:rsidRPr="00073677">
              <w:rPr>
                <w:sz w:val="22"/>
                <w:szCs w:val="22"/>
              </w:rPr>
              <w:t xml:space="preserve">menter i </w:t>
            </w:r>
            <w:r w:rsidRPr="001E3E44">
              <w:rPr>
                <w:i/>
                <w:sz w:val="22"/>
                <w:szCs w:val="22"/>
              </w:rPr>
              <w:t>Energiaftalen 2012</w:t>
            </w:r>
            <w:r w:rsidRPr="00073677">
              <w:rPr>
                <w:sz w:val="22"/>
                <w:szCs w:val="22"/>
              </w:rPr>
              <w:t xml:space="preserve"> – efter pl</w:t>
            </w:r>
            <w:r w:rsidRPr="00073677">
              <w:rPr>
                <w:sz w:val="22"/>
                <w:szCs w:val="22"/>
              </w:rPr>
              <w:t>a</w:t>
            </w:r>
            <w:r w:rsidRPr="00073677">
              <w:rPr>
                <w:sz w:val="22"/>
                <w:szCs w:val="22"/>
              </w:rPr>
              <w:t>nen i 2014 skal iværksættes en unders</w:t>
            </w:r>
            <w:r w:rsidRPr="00073677">
              <w:rPr>
                <w:sz w:val="22"/>
                <w:szCs w:val="22"/>
              </w:rPr>
              <w:t>ø</w:t>
            </w:r>
            <w:r w:rsidRPr="00073677">
              <w:rPr>
                <w:sz w:val="22"/>
                <w:szCs w:val="22"/>
              </w:rPr>
              <w:t>gelse af det eksisterende tilskuds- og a</w:t>
            </w:r>
            <w:r w:rsidRPr="00073677">
              <w:rPr>
                <w:sz w:val="22"/>
                <w:szCs w:val="22"/>
              </w:rPr>
              <w:t>f</w:t>
            </w:r>
            <w:r w:rsidRPr="00073677">
              <w:rPr>
                <w:sz w:val="22"/>
                <w:szCs w:val="22"/>
              </w:rPr>
              <w:t>giftssystem mht.</w:t>
            </w:r>
            <w:r w:rsidR="00E553C0">
              <w:rPr>
                <w:sz w:val="22"/>
                <w:szCs w:val="22"/>
              </w:rPr>
              <w:t>,</w:t>
            </w:r>
            <w:r w:rsidRPr="00073677">
              <w:rPr>
                <w:sz w:val="22"/>
                <w:szCs w:val="22"/>
              </w:rPr>
              <w:t xml:space="preserve"> om det indeholder de rigtige incitamenter.</w:t>
            </w:r>
          </w:p>
          <w:p w:rsidR="009155EC" w:rsidRPr="00073677" w:rsidRDefault="007840E3" w:rsidP="007840E3">
            <w:pPr>
              <w:rPr>
                <w:sz w:val="22"/>
                <w:szCs w:val="22"/>
              </w:rPr>
            </w:pPr>
            <w:r w:rsidRPr="00073677">
              <w:rPr>
                <w:sz w:val="22"/>
                <w:szCs w:val="22"/>
              </w:rPr>
              <w:t>Dansk Erhverv</w:t>
            </w:r>
            <w:r w:rsidR="009155EC" w:rsidRPr="00073677">
              <w:rPr>
                <w:sz w:val="22"/>
                <w:szCs w:val="22"/>
              </w:rPr>
              <w:t xml:space="preserve"> beklager</w:t>
            </w:r>
            <w:r w:rsidRPr="00073677">
              <w:rPr>
                <w:sz w:val="22"/>
                <w:szCs w:val="22"/>
              </w:rPr>
              <w:t>, at den nye fo</w:t>
            </w:r>
            <w:r w:rsidRPr="00073677">
              <w:rPr>
                <w:sz w:val="22"/>
                <w:szCs w:val="22"/>
              </w:rPr>
              <w:t>r</w:t>
            </w:r>
            <w:r w:rsidRPr="00073677">
              <w:rPr>
                <w:sz w:val="22"/>
                <w:szCs w:val="22"/>
              </w:rPr>
              <w:t>syningssikkerhedsafgift også forringer vilkårene</w:t>
            </w:r>
            <w:r w:rsidR="009155EC" w:rsidRPr="00073677">
              <w:rPr>
                <w:sz w:val="22"/>
                <w:szCs w:val="22"/>
              </w:rPr>
              <w:t xml:space="preserve"> for overskudsvarme. </w:t>
            </w:r>
          </w:p>
          <w:p w:rsidR="007840E3" w:rsidRDefault="007840E3" w:rsidP="007840E3">
            <w:pPr>
              <w:rPr>
                <w:sz w:val="22"/>
                <w:szCs w:val="22"/>
              </w:rPr>
            </w:pPr>
            <w:r w:rsidRPr="00073677">
              <w:rPr>
                <w:sz w:val="22"/>
                <w:szCs w:val="22"/>
              </w:rPr>
              <w:t>Varmegenvinding er netop udtryk for stor miljøbevidsthed, og når energien a</w:t>
            </w:r>
            <w:r w:rsidRPr="00073677">
              <w:rPr>
                <w:sz w:val="22"/>
                <w:szCs w:val="22"/>
              </w:rPr>
              <w:t>l</w:t>
            </w:r>
            <w:r w:rsidRPr="00073677">
              <w:rPr>
                <w:sz w:val="22"/>
                <w:szCs w:val="22"/>
              </w:rPr>
              <w:t>lerede er brugt til en proces, så giver det meget god mening at udnytte restenerg</w:t>
            </w:r>
            <w:r w:rsidRPr="00073677">
              <w:rPr>
                <w:sz w:val="22"/>
                <w:szCs w:val="22"/>
              </w:rPr>
              <w:t>i</w:t>
            </w:r>
            <w:r w:rsidRPr="00073677">
              <w:rPr>
                <w:sz w:val="22"/>
                <w:szCs w:val="22"/>
              </w:rPr>
              <w:t>en i stedet for at ”smide” den væk. Bor</w:t>
            </w:r>
            <w:r w:rsidRPr="00073677">
              <w:rPr>
                <w:sz w:val="22"/>
                <w:szCs w:val="22"/>
              </w:rPr>
              <w:t>t</w:t>
            </w:r>
            <w:r w:rsidRPr="00073677">
              <w:rPr>
                <w:sz w:val="22"/>
                <w:szCs w:val="22"/>
              </w:rPr>
              <w:t>skaffelse af restenergi kræver endda i nogle tilfælde afkøling af hensyn til mi</w:t>
            </w:r>
            <w:r w:rsidRPr="00073677">
              <w:rPr>
                <w:sz w:val="22"/>
                <w:szCs w:val="22"/>
              </w:rPr>
              <w:t>l</w:t>
            </w:r>
            <w:r w:rsidRPr="00073677">
              <w:rPr>
                <w:sz w:val="22"/>
                <w:szCs w:val="22"/>
              </w:rPr>
              <w:t>jøet, hvor afgiften er godtgørelsesberett</w:t>
            </w:r>
            <w:r w:rsidRPr="00073677">
              <w:rPr>
                <w:sz w:val="22"/>
                <w:szCs w:val="22"/>
              </w:rPr>
              <w:t>i</w:t>
            </w:r>
            <w:r w:rsidRPr="00073677">
              <w:rPr>
                <w:sz w:val="22"/>
                <w:szCs w:val="22"/>
              </w:rPr>
              <w:t>get (anses som proces), altså en udgift for staten.</w:t>
            </w:r>
          </w:p>
          <w:p w:rsidR="00F06D9D" w:rsidRDefault="00F06D9D" w:rsidP="007840E3">
            <w:pPr>
              <w:rPr>
                <w:sz w:val="22"/>
                <w:szCs w:val="22"/>
              </w:rPr>
            </w:pPr>
          </w:p>
          <w:p w:rsidR="00F06D9D" w:rsidRDefault="00F06D9D" w:rsidP="007840E3">
            <w:pPr>
              <w:rPr>
                <w:sz w:val="22"/>
                <w:szCs w:val="22"/>
              </w:rPr>
            </w:pPr>
          </w:p>
          <w:p w:rsidR="00F06D9D" w:rsidRDefault="00F06D9D" w:rsidP="007840E3">
            <w:pPr>
              <w:rPr>
                <w:sz w:val="22"/>
                <w:szCs w:val="22"/>
              </w:rPr>
            </w:pPr>
          </w:p>
          <w:p w:rsidR="00F06D9D" w:rsidRDefault="00F06D9D" w:rsidP="007840E3">
            <w:pPr>
              <w:rPr>
                <w:sz w:val="22"/>
                <w:szCs w:val="22"/>
              </w:rPr>
            </w:pPr>
          </w:p>
          <w:p w:rsidR="00F06D9D" w:rsidRDefault="00F06D9D" w:rsidP="007840E3">
            <w:pPr>
              <w:rPr>
                <w:sz w:val="22"/>
                <w:szCs w:val="22"/>
              </w:rPr>
            </w:pPr>
          </w:p>
          <w:p w:rsidR="00187157" w:rsidRPr="00073677" w:rsidRDefault="00187157" w:rsidP="007840E3">
            <w:pPr>
              <w:rPr>
                <w:sz w:val="22"/>
                <w:szCs w:val="22"/>
              </w:rPr>
            </w:pPr>
          </w:p>
          <w:p w:rsidR="009155EC" w:rsidRPr="00073677" w:rsidRDefault="009155EC" w:rsidP="007840E3">
            <w:pPr>
              <w:rPr>
                <w:sz w:val="22"/>
                <w:szCs w:val="22"/>
              </w:rPr>
            </w:pPr>
            <w:r w:rsidRPr="00073677">
              <w:rPr>
                <w:sz w:val="22"/>
                <w:szCs w:val="22"/>
              </w:rPr>
              <w:t>L</w:t>
            </w:r>
            <w:r w:rsidR="007840E3" w:rsidRPr="00073677">
              <w:rPr>
                <w:sz w:val="22"/>
                <w:szCs w:val="22"/>
              </w:rPr>
              <w:t xml:space="preserve">ovforslaget </w:t>
            </w:r>
            <w:r w:rsidRPr="00073677">
              <w:rPr>
                <w:sz w:val="22"/>
                <w:szCs w:val="22"/>
              </w:rPr>
              <w:t xml:space="preserve">får </w:t>
            </w:r>
            <w:r w:rsidR="007840E3" w:rsidRPr="00073677">
              <w:rPr>
                <w:sz w:val="22"/>
                <w:szCs w:val="22"/>
              </w:rPr>
              <w:t>dog allerstørst økon</w:t>
            </w:r>
            <w:r w:rsidR="007840E3" w:rsidRPr="00073677">
              <w:rPr>
                <w:sz w:val="22"/>
                <w:szCs w:val="22"/>
              </w:rPr>
              <w:t>o</w:t>
            </w:r>
            <w:r w:rsidR="007840E3" w:rsidRPr="00073677">
              <w:rPr>
                <w:sz w:val="22"/>
                <w:szCs w:val="22"/>
              </w:rPr>
              <w:t xml:space="preserve">misk virkning for husholdningerne. Disse får en betydelig afgiftsstigning, hvilket bl.a. bidrager til et yderligere svækket privatforbrug og dermed faldende vækst og beskæftigelse. </w:t>
            </w:r>
          </w:p>
          <w:p w:rsidR="007840E3" w:rsidRPr="00073677" w:rsidRDefault="009155EC" w:rsidP="007840E3">
            <w:pPr>
              <w:rPr>
                <w:sz w:val="22"/>
                <w:szCs w:val="22"/>
              </w:rPr>
            </w:pPr>
            <w:r w:rsidRPr="00073677">
              <w:rPr>
                <w:sz w:val="22"/>
                <w:szCs w:val="22"/>
              </w:rPr>
              <w:t>R</w:t>
            </w:r>
            <w:r w:rsidR="007840E3" w:rsidRPr="00073677">
              <w:rPr>
                <w:sz w:val="22"/>
                <w:szCs w:val="22"/>
              </w:rPr>
              <w:t xml:space="preserve">egeringen </w:t>
            </w:r>
            <w:r w:rsidRPr="00073677">
              <w:rPr>
                <w:sz w:val="22"/>
                <w:szCs w:val="22"/>
              </w:rPr>
              <w:t xml:space="preserve">anmodes </w:t>
            </w:r>
            <w:r w:rsidR="007840E3" w:rsidRPr="00073677">
              <w:rPr>
                <w:sz w:val="22"/>
                <w:szCs w:val="22"/>
              </w:rPr>
              <w:t>om at fremlægge mere specifikke beregninger på fors</w:t>
            </w:r>
            <w:r w:rsidR="007840E3" w:rsidRPr="00073677">
              <w:rPr>
                <w:sz w:val="22"/>
                <w:szCs w:val="22"/>
              </w:rPr>
              <w:t>y</w:t>
            </w:r>
            <w:r w:rsidR="007840E3" w:rsidRPr="00073677">
              <w:rPr>
                <w:sz w:val="22"/>
                <w:szCs w:val="22"/>
              </w:rPr>
              <w:t>ningssikkerhedsafgiftens økonomiske virkninger for husholdningerne og deraf afsmittende virkninger på samfundsøk</w:t>
            </w:r>
            <w:r w:rsidR="007840E3" w:rsidRPr="00073677">
              <w:rPr>
                <w:sz w:val="22"/>
                <w:szCs w:val="22"/>
              </w:rPr>
              <w:t>o</w:t>
            </w:r>
            <w:r w:rsidR="007840E3" w:rsidRPr="00073677">
              <w:rPr>
                <w:sz w:val="22"/>
                <w:szCs w:val="22"/>
              </w:rPr>
              <w:t>nomien.</w:t>
            </w:r>
          </w:p>
          <w:p w:rsidR="007840E3" w:rsidRPr="00073677" w:rsidRDefault="007840E3" w:rsidP="007840E3">
            <w:pPr>
              <w:rPr>
                <w:sz w:val="22"/>
                <w:szCs w:val="22"/>
              </w:rPr>
            </w:pPr>
            <w:r w:rsidRPr="00073677">
              <w:rPr>
                <w:sz w:val="22"/>
                <w:szCs w:val="22"/>
              </w:rPr>
              <w:t>Isoleret set er det positivt, at afgifterne på procesenergi lempes. Men det er dybt kr</w:t>
            </w:r>
            <w:r w:rsidRPr="00073677">
              <w:rPr>
                <w:sz w:val="22"/>
                <w:szCs w:val="22"/>
              </w:rPr>
              <w:t>i</w:t>
            </w:r>
            <w:r w:rsidRPr="00073677">
              <w:rPr>
                <w:sz w:val="22"/>
                <w:szCs w:val="22"/>
              </w:rPr>
              <w:t xml:space="preserve">tisabelt, at det er det øvrige erhvervsliv, der </w:t>
            </w:r>
            <w:r w:rsidR="007313DD">
              <w:rPr>
                <w:sz w:val="22"/>
                <w:szCs w:val="22"/>
              </w:rPr>
              <w:t>skal betale for denne lempelse.</w:t>
            </w:r>
          </w:p>
          <w:p w:rsidR="009155EC" w:rsidRPr="00073677" w:rsidRDefault="009155EC" w:rsidP="007840E3">
            <w:pPr>
              <w:rPr>
                <w:sz w:val="22"/>
                <w:szCs w:val="22"/>
              </w:rPr>
            </w:pPr>
            <w:r w:rsidRPr="00073677">
              <w:rPr>
                <w:sz w:val="22"/>
                <w:szCs w:val="22"/>
              </w:rPr>
              <w:t>Det er</w:t>
            </w:r>
            <w:r w:rsidR="007840E3" w:rsidRPr="00073677">
              <w:rPr>
                <w:sz w:val="22"/>
                <w:szCs w:val="22"/>
              </w:rPr>
              <w:t xml:space="preserve"> kun den lille brøkdel af erhverv</w:t>
            </w:r>
            <w:r w:rsidR="007840E3" w:rsidRPr="00073677">
              <w:rPr>
                <w:sz w:val="22"/>
                <w:szCs w:val="22"/>
              </w:rPr>
              <w:t>s</w:t>
            </w:r>
            <w:r w:rsidR="007840E3" w:rsidRPr="00073677">
              <w:rPr>
                <w:sz w:val="22"/>
                <w:szCs w:val="22"/>
              </w:rPr>
              <w:t>livets momsregistrerede virksomheder med tilhørende beskæftigelse og værd</w:t>
            </w:r>
            <w:r w:rsidR="007840E3" w:rsidRPr="00073677">
              <w:rPr>
                <w:sz w:val="22"/>
                <w:szCs w:val="22"/>
              </w:rPr>
              <w:t>i</w:t>
            </w:r>
            <w:r w:rsidR="007840E3" w:rsidRPr="00073677">
              <w:rPr>
                <w:sz w:val="22"/>
                <w:szCs w:val="22"/>
              </w:rPr>
              <w:t>skabelse, som definitorisk bruger energi til procesformål, der opnår denne lempe</w:t>
            </w:r>
            <w:r w:rsidR="007840E3" w:rsidRPr="00073677">
              <w:rPr>
                <w:sz w:val="22"/>
                <w:szCs w:val="22"/>
              </w:rPr>
              <w:t>l</w:t>
            </w:r>
            <w:r w:rsidR="00AB78E1">
              <w:rPr>
                <w:sz w:val="22"/>
                <w:szCs w:val="22"/>
              </w:rPr>
              <w:t>se.</w:t>
            </w:r>
          </w:p>
          <w:p w:rsidR="008E7DEB" w:rsidRPr="00073677" w:rsidRDefault="00AE5EA2" w:rsidP="007840E3">
            <w:pPr>
              <w:rPr>
                <w:sz w:val="22"/>
                <w:szCs w:val="22"/>
              </w:rPr>
            </w:pPr>
            <w:r>
              <w:rPr>
                <w:sz w:val="22"/>
                <w:szCs w:val="22"/>
              </w:rPr>
              <w:t>D</w:t>
            </w:r>
            <w:r w:rsidR="007840E3" w:rsidRPr="00073677">
              <w:rPr>
                <w:sz w:val="22"/>
                <w:szCs w:val="22"/>
              </w:rPr>
              <w:t>enne bevidste omfordeling mellem e</w:t>
            </w:r>
            <w:r w:rsidR="007840E3" w:rsidRPr="00073677">
              <w:rPr>
                <w:sz w:val="22"/>
                <w:szCs w:val="22"/>
              </w:rPr>
              <w:t>r</w:t>
            </w:r>
            <w:r w:rsidR="007840E3" w:rsidRPr="00073677">
              <w:rPr>
                <w:sz w:val="22"/>
                <w:szCs w:val="22"/>
              </w:rPr>
              <w:t>hvervslivets sekt</w:t>
            </w:r>
            <w:r w:rsidR="008E7DEB" w:rsidRPr="00073677">
              <w:rPr>
                <w:sz w:val="22"/>
                <w:szCs w:val="22"/>
              </w:rPr>
              <w:t xml:space="preserve">orer er </w:t>
            </w:r>
            <w:r w:rsidR="007840E3" w:rsidRPr="00073677">
              <w:rPr>
                <w:sz w:val="22"/>
                <w:szCs w:val="22"/>
              </w:rPr>
              <w:t>uhensigtsmæssig, når det påtænkes, at der i forvejen he</w:t>
            </w:r>
            <w:r w:rsidR="007840E3" w:rsidRPr="00073677">
              <w:rPr>
                <w:sz w:val="22"/>
                <w:szCs w:val="22"/>
              </w:rPr>
              <w:t>r</w:t>
            </w:r>
            <w:r w:rsidR="007840E3" w:rsidRPr="00073677">
              <w:rPr>
                <w:sz w:val="22"/>
                <w:szCs w:val="22"/>
              </w:rPr>
              <w:t>sker en høj grad af afgiftsmæssig skæ</w:t>
            </w:r>
            <w:r w:rsidR="007840E3" w:rsidRPr="00073677">
              <w:rPr>
                <w:sz w:val="22"/>
                <w:szCs w:val="22"/>
              </w:rPr>
              <w:t>v</w:t>
            </w:r>
            <w:r w:rsidR="007840E3" w:rsidRPr="00073677">
              <w:rPr>
                <w:sz w:val="22"/>
                <w:szCs w:val="22"/>
              </w:rPr>
              <w:t xml:space="preserve">hed i </w:t>
            </w:r>
            <w:r w:rsidR="008E7DEB" w:rsidRPr="00073677">
              <w:rPr>
                <w:sz w:val="22"/>
                <w:szCs w:val="22"/>
              </w:rPr>
              <w:t xml:space="preserve">proces-energi-branchernes favør. </w:t>
            </w:r>
          </w:p>
          <w:p w:rsidR="007840E3" w:rsidRPr="00073677" w:rsidRDefault="008E7DEB" w:rsidP="007840E3">
            <w:pPr>
              <w:rPr>
                <w:sz w:val="22"/>
                <w:szCs w:val="22"/>
              </w:rPr>
            </w:pPr>
            <w:r w:rsidRPr="00073677">
              <w:rPr>
                <w:sz w:val="22"/>
                <w:szCs w:val="22"/>
              </w:rPr>
              <w:t>B</w:t>
            </w:r>
            <w:r w:rsidR="007840E3" w:rsidRPr="00073677">
              <w:rPr>
                <w:sz w:val="22"/>
                <w:szCs w:val="22"/>
              </w:rPr>
              <w:t xml:space="preserve">rancher som turismeerhvervet </w:t>
            </w:r>
            <w:r w:rsidRPr="00073677">
              <w:rPr>
                <w:sz w:val="22"/>
                <w:szCs w:val="22"/>
              </w:rPr>
              <w:t xml:space="preserve">er </w:t>
            </w:r>
            <w:r w:rsidR="007840E3" w:rsidRPr="00073677">
              <w:rPr>
                <w:sz w:val="22"/>
                <w:szCs w:val="22"/>
              </w:rPr>
              <w:t>i mindst ligeså høj grad internationalt ko</w:t>
            </w:r>
            <w:r w:rsidR="007840E3" w:rsidRPr="00073677">
              <w:rPr>
                <w:sz w:val="22"/>
                <w:szCs w:val="22"/>
              </w:rPr>
              <w:t>n</w:t>
            </w:r>
            <w:r w:rsidR="007840E3" w:rsidRPr="00073677">
              <w:rPr>
                <w:sz w:val="22"/>
                <w:szCs w:val="22"/>
              </w:rPr>
              <w:t>kurrenceudsat som de brancher og vir</w:t>
            </w:r>
            <w:r w:rsidR="007840E3" w:rsidRPr="00073677">
              <w:rPr>
                <w:sz w:val="22"/>
                <w:szCs w:val="22"/>
              </w:rPr>
              <w:t>k</w:t>
            </w:r>
            <w:r w:rsidR="007840E3" w:rsidRPr="00073677">
              <w:rPr>
                <w:sz w:val="22"/>
                <w:szCs w:val="22"/>
              </w:rPr>
              <w:t>somheder, der definitorisk har en produ</w:t>
            </w:r>
            <w:r w:rsidR="007840E3" w:rsidRPr="00073677">
              <w:rPr>
                <w:sz w:val="22"/>
                <w:szCs w:val="22"/>
              </w:rPr>
              <w:t>k</w:t>
            </w:r>
            <w:r w:rsidR="007840E3" w:rsidRPr="00073677">
              <w:rPr>
                <w:sz w:val="22"/>
                <w:szCs w:val="22"/>
              </w:rPr>
              <w:t>tions</w:t>
            </w:r>
            <w:r w:rsidRPr="00073677">
              <w:rPr>
                <w:sz w:val="22"/>
                <w:szCs w:val="22"/>
              </w:rPr>
              <w:t>proces.</w:t>
            </w:r>
          </w:p>
          <w:p w:rsidR="007840E3" w:rsidRPr="00073677" w:rsidRDefault="007840E3" w:rsidP="007840E3">
            <w:pPr>
              <w:rPr>
                <w:sz w:val="22"/>
                <w:szCs w:val="22"/>
              </w:rPr>
            </w:pPr>
            <w:r w:rsidRPr="00073677">
              <w:rPr>
                <w:sz w:val="22"/>
                <w:szCs w:val="22"/>
              </w:rPr>
              <w:t xml:space="preserve">Det fremgår af </w:t>
            </w:r>
            <w:r w:rsidRPr="00073677">
              <w:rPr>
                <w:i/>
                <w:sz w:val="22"/>
                <w:szCs w:val="22"/>
              </w:rPr>
              <w:t>Solcelleaftalen</w:t>
            </w:r>
            <w:r w:rsidR="008E7DEB" w:rsidRPr="00073677">
              <w:rPr>
                <w:sz w:val="22"/>
                <w:szCs w:val="22"/>
              </w:rPr>
              <w:t xml:space="preserve">, </w:t>
            </w:r>
            <w:r w:rsidRPr="00073677">
              <w:rPr>
                <w:sz w:val="22"/>
                <w:szCs w:val="22"/>
              </w:rPr>
              <w:t>at det statslige provenutab for den samlede u</w:t>
            </w:r>
            <w:r w:rsidRPr="00073677">
              <w:rPr>
                <w:sz w:val="22"/>
                <w:szCs w:val="22"/>
              </w:rPr>
              <w:t>d</w:t>
            </w:r>
            <w:r w:rsidRPr="00073677">
              <w:rPr>
                <w:sz w:val="22"/>
                <w:szCs w:val="22"/>
              </w:rPr>
              <w:t>bygning med solcelleanlæg og øvrige små VE-anlæg finansieres ved en sti</w:t>
            </w:r>
            <w:r w:rsidRPr="00073677">
              <w:rPr>
                <w:sz w:val="22"/>
                <w:szCs w:val="22"/>
              </w:rPr>
              <w:t>g</w:t>
            </w:r>
            <w:r w:rsidRPr="00073677">
              <w:rPr>
                <w:sz w:val="22"/>
                <w:szCs w:val="22"/>
              </w:rPr>
              <w:t>ning i forsyningssikkerhedsafgiften i fo</w:t>
            </w:r>
            <w:r w:rsidRPr="00073677">
              <w:rPr>
                <w:sz w:val="22"/>
                <w:szCs w:val="22"/>
              </w:rPr>
              <w:t>r</w:t>
            </w:r>
            <w:r w:rsidRPr="00073677">
              <w:rPr>
                <w:sz w:val="22"/>
                <w:szCs w:val="22"/>
              </w:rPr>
              <w:t xml:space="preserve">hold til det allerede aftalte i </w:t>
            </w:r>
            <w:r w:rsidRPr="00073677">
              <w:rPr>
                <w:i/>
                <w:sz w:val="22"/>
                <w:szCs w:val="22"/>
              </w:rPr>
              <w:t>Energiaftale 2012</w:t>
            </w:r>
            <w:r w:rsidRPr="00073677">
              <w:rPr>
                <w:sz w:val="22"/>
                <w:szCs w:val="22"/>
              </w:rPr>
              <w:t>.</w:t>
            </w:r>
          </w:p>
          <w:p w:rsidR="007840E3" w:rsidRPr="00073677" w:rsidRDefault="007840E3" w:rsidP="007840E3">
            <w:pPr>
              <w:rPr>
                <w:sz w:val="22"/>
                <w:szCs w:val="22"/>
              </w:rPr>
            </w:pPr>
            <w:r w:rsidRPr="00073677">
              <w:rPr>
                <w:sz w:val="22"/>
                <w:szCs w:val="22"/>
              </w:rPr>
              <w:t xml:space="preserve">Uagtet de isoleret set udmærkede tiltag i </w:t>
            </w:r>
            <w:r w:rsidRPr="00073677">
              <w:rPr>
                <w:i/>
                <w:sz w:val="22"/>
                <w:szCs w:val="22"/>
              </w:rPr>
              <w:t>Solcelleaften</w:t>
            </w:r>
            <w:r w:rsidR="008E7DEB" w:rsidRPr="00073677">
              <w:rPr>
                <w:sz w:val="22"/>
                <w:szCs w:val="22"/>
              </w:rPr>
              <w:t xml:space="preserve">, findes </w:t>
            </w:r>
            <w:r w:rsidRPr="00073677">
              <w:rPr>
                <w:sz w:val="22"/>
                <w:szCs w:val="22"/>
              </w:rPr>
              <w:t xml:space="preserve">det kritisabelt, at forligspartierne øjensynligt opfatter den aftalte forsyningssikkerhedsafgift som en ny skatteskrue, der kan finansiere </w:t>
            </w:r>
            <w:r w:rsidR="00F47FDF" w:rsidRPr="00073677">
              <w:rPr>
                <w:sz w:val="22"/>
                <w:szCs w:val="22"/>
              </w:rPr>
              <w:t xml:space="preserve">dette </w:t>
            </w:r>
            <w:r w:rsidRPr="00073677">
              <w:rPr>
                <w:sz w:val="22"/>
                <w:szCs w:val="22"/>
              </w:rPr>
              <w:t xml:space="preserve">tiltag indenfor energiområdet. </w:t>
            </w:r>
          </w:p>
          <w:p w:rsidR="007840E3" w:rsidRPr="00073677" w:rsidRDefault="007840E3" w:rsidP="007840E3">
            <w:pPr>
              <w:rPr>
                <w:sz w:val="22"/>
                <w:szCs w:val="22"/>
              </w:rPr>
            </w:pPr>
            <w:r w:rsidRPr="00073677">
              <w:rPr>
                <w:sz w:val="22"/>
                <w:szCs w:val="22"/>
              </w:rPr>
              <w:t>Med en øget provenumæssig helårsvir</w:t>
            </w:r>
            <w:r w:rsidRPr="00073677">
              <w:rPr>
                <w:sz w:val="22"/>
                <w:szCs w:val="22"/>
              </w:rPr>
              <w:t>k</w:t>
            </w:r>
            <w:r w:rsidRPr="00073677">
              <w:rPr>
                <w:sz w:val="22"/>
                <w:szCs w:val="22"/>
              </w:rPr>
              <w:t>ning på 865 mio. kr., er der tale om en ganske substantiel yderligere ”grøn” a</w:t>
            </w:r>
            <w:r w:rsidRPr="00073677">
              <w:rPr>
                <w:sz w:val="22"/>
                <w:szCs w:val="22"/>
              </w:rPr>
              <w:t>f</w:t>
            </w:r>
            <w:r w:rsidRPr="00073677">
              <w:rPr>
                <w:sz w:val="22"/>
                <w:szCs w:val="22"/>
              </w:rPr>
              <w:t>gift i Danmark, der i forvejen har verdens højeste grønne skattetryk. I det hele taget er det efter de seneste skattereformer ne</w:t>
            </w:r>
            <w:r w:rsidRPr="00073677">
              <w:rPr>
                <w:sz w:val="22"/>
                <w:szCs w:val="22"/>
              </w:rPr>
              <w:t>t</w:t>
            </w:r>
            <w:r w:rsidRPr="00073677">
              <w:rPr>
                <w:sz w:val="22"/>
                <w:szCs w:val="22"/>
              </w:rPr>
              <w:t>op på punktafgiftsområdet, at Danmark skiller sig allermest negativt ud i forhold til vores nabolande og det øvrige EU.</w:t>
            </w:r>
          </w:p>
          <w:p w:rsidR="007840E3" w:rsidRPr="00073677" w:rsidRDefault="007840E3" w:rsidP="007840E3">
            <w:pPr>
              <w:rPr>
                <w:sz w:val="22"/>
                <w:szCs w:val="22"/>
              </w:rPr>
            </w:pPr>
            <w:r w:rsidRPr="00073677">
              <w:rPr>
                <w:sz w:val="22"/>
                <w:szCs w:val="22"/>
              </w:rPr>
              <w:t>Det vækker derudover en vis opsigt, at provenuet i L108 er opgjort med såvel adfærds- som arbejdsudbudseffekter, hvilket ellers hører til sjældenhederne i</w:t>
            </w:r>
            <w:r w:rsidRPr="00073677">
              <w:rPr>
                <w:sz w:val="22"/>
                <w:szCs w:val="22"/>
              </w:rPr>
              <w:t>n</w:t>
            </w:r>
            <w:r w:rsidRPr="00073677">
              <w:rPr>
                <w:sz w:val="22"/>
                <w:szCs w:val="22"/>
              </w:rPr>
              <w:t>denfor det skatte- og afgiftspolitiske r</w:t>
            </w:r>
            <w:r w:rsidRPr="00073677">
              <w:rPr>
                <w:sz w:val="22"/>
                <w:szCs w:val="22"/>
              </w:rPr>
              <w:t>e</w:t>
            </w:r>
            <w:r w:rsidRPr="00073677">
              <w:rPr>
                <w:sz w:val="22"/>
                <w:szCs w:val="22"/>
              </w:rPr>
              <w:t>gime. Det bidrager til at gøre provenuet væsentligt lavere end hvis der kun blev anvendt gængs tilbageløbsmetodik.</w:t>
            </w:r>
          </w:p>
          <w:p w:rsidR="007840E3" w:rsidRPr="00073677" w:rsidRDefault="007840E3" w:rsidP="007840E3">
            <w:pPr>
              <w:rPr>
                <w:sz w:val="22"/>
                <w:szCs w:val="22"/>
              </w:rPr>
            </w:pPr>
            <w:r w:rsidRPr="00073677">
              <w:rPr>
                <w:sz w:val="22"/>
                <w:szCs w:val="22"/>
              </w:rPr>
              <w:t>Vedr. spørgsmålet om, hvorvidt forslaget medfører ændring i de såkaldte skatteu</w:t>
            </w:r>
            <w:r w:rsidRPr="00073677">
              <w:rPr>
                <w:sz w:val="22"/>
                <w:szCs w:val="22"/>
              </w:rPr>
              <w:t>d</w:t>
            </w:r>
            <w:r w:rsidRPr="00073677">
              <w:rPr>
                <w:sz w:val="22"/>
                <w:szCs w:val="22"/>
              </w:rPr>
              <w:t>gifter, finder vi argumentationen om, at ”referencerammen for energibeskatni</w:t>
            </w:r>
            <w:r w:rsidRPr="00073677">
              <w:rPr>
                <w:sz w:val="22"/>
                <w:szCs w:val="22"/>
              </w:rPr>
              <w:t>n</w:t>
            </w:r>
            <w:r w:rsidRPr="00073677">
              <w:rPr>
                <w:sz w:val="22"/>
                <w:szCs w:val="22"/>
              </w:rPr>
              <w:t>gen er en differentieret beskatning a hu</w:t>
            </w:r>
            <w:r w:rsidRPr="00073677">
              <w:rPr>
                <w:sz w:val="22"/>
                <w:szCs w:val="22"/>
              </w:rPr>
              <w:t>s</w:t>
            </w:r>
            <w:r w:rsidRPr="00073677">
              <w:rPr>
                <w:sz w:val="22"/>
                <w:szCs w:val="22"/>
              </w:rPr>
              <w:t>holdninger inklusiv rumvarme og e</w:t>
            </w:r>
            <w:r w:rsidRPr="00073677">
              <w:rPr>
                <w:sz w:val="22"/>
                <w:szCs w:val="22"/>
              </w:rPr>
              <w:t>r</w:t>
            </w:r>
            <w:r w:rsidRPr="00073677">
              <w:rPr>
                <w:sz w:val="22"/>
                <w:szCs w:val="22"/>
              </w:rPr>
              <w:t>hverv. Forslaget ændrer ikke på dette” som meget lidt fyldestgørende og fo</w:t>
            </w:r>
            <w:r w:rsidRPr="00073677">
              <w:rPr>
                <w:sz w:val="22"/>
                <w:szCs w:val="22"/>
              </w:rPr>
              <w:t>r</w:t>
            </w:r>
            <w:r w:rsidRPr="00073677">
              <w:rPr>
                <w:sz w:val="22"/>
                <w:szCs w:val="22"/>
              </w:rPr>
              <w:t>mentlig forkert, idet der også internt me</w:t>
            </w:r>
            <w:r w:rsidRPr="00073677">
              <w:rPr>
                <w:sz w:val="22"/>
                <w:szCs w:val="22"/>
              </w:rPr>
              <w:t>l</w:t>
            </w:r>
            <w:r w:rsidRPr="00073677">
              <w:rPr>
                <w:sz w:val="22"/>
                <w:szCs w:val="22"/>
              </w:rPr>
              <w:t>lem erhvervene sker forskydninger.</w:t>
            </w:r>
          </w:p>
          <w:p w:rsidR="00DF1370" w:rsidRPr="00073677" w:rsidRDefault="007840E3" w:rsidP="00AE5EA2">
            <w:pPr>
              <w:rPr>
                <w:sz w:val="22"/>
                <w:szCs w:val="22"/>
              </w:rPr>
            </w:pPr>
            <w:r w:rsidRPr="00073677">
              <w:rPr>
                <w:sz w:val="22"/>
                <w:szCs w:val="22"/>
              </w:rPr>
              <w:t>Dansk Erhverv opfordrer til udskudt ikrafttrædelse af L108 – som minimum af den del af afgiftsstigningen, som kan henføres til solcelleaftalen. L108 kan i stedet træde i kraft ved et følgende kva</w:t>
            </w:r>
            <w:r w:rsidRPr="00073677">
              <w:rPr>
                <w:sz w:val="22"/>
                <w:szCs w:val="22"/>
              </w:rPr>
              <w:t>r</w:t>
            </w:r>
            <w:r w:rsidRPr="00073677">
              <w:rPr>
                <w:sz w:val="22"/>
                <w:szCs w:val="22"/>
              </w:rPr>
              <w:t>tals begyndelse, f.eks. pr. 1. april eller 1. juli 2013.</w:t>
            </w:r>
          </w:p>
        </w:tc>
        <w:tc>
          <w:tcPr>
            <w:tcW w:w="3056" w:type="dxa"/>
            <w:shd w:val="clear" w:color="auto" w:fill="auto"/>
          </w:tcPr>
          <w:p w:rsidR="00DF1370" w:rsidRPr="00A72BF0" w:rsidRDefault="000820AD">
            <w:pPr>
              <w:rPr>
                <w:sz w:val="22"/>
                <w:szCs w:val="22"/>
              </w:rPr>
            </w:pPr>
            <w:r w:rsidRPr="00A72BF0">
              <w:rPr>
                <w:sz w:val="22"/>
                <w:szCs w:val="22"/>
              </w:rPr>
              <w:t>Der henvises til kommentaren til Advokatrådet</w:t>
            </w:r>
            <w:r w:rsidR="00E73996" w:rsidRPr="00A72BF0">
              <w:rPr>
                <w:sz w:val="22"/>
                <w:szCs w:val="22"/>
              </w:rPr>
              <w:t>.</w:t>
            </w:r>
          </w:p>
          <w:p w:rsidR="00E73996" w:rsidRPr="00A72BF0" w:rsidRDefault="00E73996" w:rsidP="00E73996">
            <w:pPr>
              <w:rPr>
                <w:sz w:val="22"/>
                <w:szCs w:val="22"/>
              </w:rPr>
            </w:pPr>
            <w:r w:rsidRPr="00A72BF0">
              <w:rPr>
                <w:sz w:val="22"/>
                <w:szCs w:val="22"/>
              </w:rPr>
              <w:t xml:space="preserve">Forsyningssikkerhedsafgiften på både fossile brændsler og biomasse skal finansiere en række energipolitiske </w:t>
            </w:r>
            <w:r w:rsidR="00A70BFD" w:rsidRPr="00A72BF0">
              <w:rPr>
                <w:sz w:val="22"/>
                <w:szCs w:val="22"/>
              </w:rPr>
              <w:t>initiativer</w:t>
            </w:r>
            <w:r w:rsidRPr="00A72BF0">
              <w:rPr>
                <w:sz w:val="22"/>
                <w:szCs w:val="22"/>
              </w:rPr>
              <w:t xml:space="preserve"> som aftalt i</w:t>
            </w:r>
            <w:r w:rsidRPr="00A72BF0">
              <w:rPr>
                <w:i/>
                <w:sz w:val="22"/>
                <w:szCs w:val="22"/>
              </w:rPr>
              <w:t xml:space="preserve"> Energiaftalen 2012 </w:t>
            </w:r>
            <w:r w:rsidRPr="00A72BF0">
              <w:rPr>
                <w:sz w:val="22"/>
                <w:szCs w:val="22"/>
              </w:rPr>
              <w:t xml:space="preserve">og </w:t>
            </w:r>
            <w:r w:rsidRPr="00A72BF0">
              <w:rPr>
                <w:i/>
                <w:sz w:val="22"/>
                <w:szCs w:val="22"/>
              </w:rPr>
              <w:t>Solcelleaftalen</w:t>
            </w:r>
            <w:r w:rsidRPr="00A72BF0">
              <w:rPr>
                <w:sz w:val="22"/>
                <w:szCs w:val="22"/>
              </w:rPr>
              <w:t xml:space="preserve">. </w:t>
            </w:r>
          </w:p>
          <w:p w:rsidR="00BA28E7" w:rsidRPr="00A72BF0" w:rsidRDefault="00E73996" w:rsidP="00E73996">
            <w:pPr>
              <w:rPr>
                <w:sz w:val="22"/>
                <w:szCs w:val="22"/>
              </w:rPr>
            </w:pPr>
            <w:r w:rsidRPr="00A72BF0">
              <w:rPr>
                <w:sz w:val="22"/>
                <w:szCs w:val="22"/>
              </w:rPr>
              <w:t xml:space="preserve">Finansieringen af </w:t>
            </w:r>
            <w:r w:rsidRPr="00A72BF0">
              <w:rPr>
                <w:i/>
                <w:sz w:val="22"/>
                <w:szCs w:val="22"/>
              </w:rPr>
              <w:t>Solcelleaft</w:t>
            </w:r>
            <w:r w:rsidRPr="00A72BF0">
              <w:rPr>
                <w:i/>
                <w:sz w:val="22"/>
                <w:szCs w:val="22"/>
              </w:rPr>
              <w:t>a</w:t>
            </w:r>
            <w:r w:rsidRPr="00A72BF0">
              <w:rPr>
                <w:i/>
                <w:sz w:val="22"/>
                <w:szCs w:val="22"/>
              </w:rPr>
              <w:t>len</w:t>
            </w:r>
            <w:r w:rsidRPr="00A72BF0">
              <w:rPr>
                <w:sz w:val="22"/>
                <w:szCs w:val="22"/>
              </w:rPr>
              <w:t xml:space="preserve"> dækker perioden fra 2013-2020, og derfor har det været nødvendigt at fremrykke fre</w:t>
            </w:r>
            <w:r w:rsidRPr="00A72BF0">
              <w:rPr>
                <w:sz w:val="22"/>
                <w:szCs w:val="22"/>
              </w:rPr>
              <w:t>m</w:t>
            </w:r>
            <w:r w:rsidRPr="00A72BF0">
              <w:rPr>
                <w:sz w:val="22"/>
                <w:szCs w:val="22"/>
              </w:rPr>
              <w:t>sættelsen af dette lovforslag, da det dækker finansieringsbeh</w:t>
            </w:r>
            <w:r w:rsidRPr="00A72BF0">
              <w:rPr>
                <w:sz w:val="22"/>
                <w:szCs w:val="22"/>
              </w:rPr>
              <w:t>o</w:t>
            </w:r>
            <w:r w:rsidRPr="00A72BF0">
              <w:rPr>
                <w:sz w:val="22"/>
                <w:szCs w:val="22"/>
              </w:rPr>
              <w:t>vet for 2013.</w:t>
            </w:r>
          </w:p>
          <w:p w:rsidR="00BA28E7" w:rsidRPr="0090520E" w:rsidRDefault="00A24989" w:rsidP="00E73996">
            <w:pPr>
              <w:rPr>
                <w:sz w:val="22"/>
                <w:szCs w:val="22"/>
              </w:rPr>
            </w:pPr>
            <w:r w:rsidRPr="0090520E">
              <w:rPr>
                <w:sz w:val="22"/>
                <w:szCs w:val="22"/>
              </w:rPr>
              <w:t>Med lovforslaget udmøntes kun den del af den aftalte fors</w:t>
            </w:r>
            <w:r w:rsidRPr="0090520E">
              <w:rPr>
                <w:sz w:val="22"/>
                <w:szCs w:val="22"/>
              </w:rPr>
              <w:t>y</w:t>
            </w:r>
            <w:r w:rsidRPr="0090520E">
              <w:rPr>
                <w:sz w:val="22"/>
                <w:szCs w:val="22"/>
              </w:rPr>
              <w:t>ningssikkerhedsafgift, der ve</w:t>
            </w:r>
            <w:r w:rsidRPr="0090520E">
              <w:rPr>
                <w:sz w:val="22"/>
                <w:szCs w:val="22"/>
              </w:rPr>
              <w:t>d</w:t>
            </w:r>
            <w:r w:rsidRPr="0090520E">
              <w:rPr>
                <w:sz w:val="22"/>
                <w:szCs w:val="22"/>
              </w:rPr>
              <w:t>rører de fossile brændsler sv</w:t>
            </w:r>
            <w:r w:rsidRPr="0090520E">
              <w:rPr>
                <w:sz w:val="22"/>
                <w:szCs w:val="22"/>
              </w:rPr>
              <w:t>a</w:t>
            </w:r>
            <w:r w:rsidRPr="0090520E">
              <w:rPr>
                <w:sz w:val="22"/>
                <w:szCs w:val="22"/>
              </w:rPr>
              <w:t xml:space="preserve">rende til afgiften for 2013 med efterfølgende indeksering. </w:t>
            </w:r>
          </w:p>
          <w:p w:rsidR="00F338AC" w:rsidRPr="0090520E" w:rsidRDefault="00F338AC" w:rsidP="00F338AC">
            <w:pPr>
              <w:rPr>
                <w:sz w:val="22"/>
                <w:szCs w:val="22"/>
              </w:rPr>
            </w:pPr>
            <w:r w:rsidRPr="0090520E">
              <w:rPr>
                <w:sz w:val="22"/>
                <w:szCs w:val="22"/>
              </w:rPr>
              <w:t>Med henblik på at afskærme det private erhvervsliv fra afgift</w:t>
            </w:r>
            <w:r w:rsidRPr="0090520E">
              <w:rPr>
                <w:sz w:val="22"/>
                <w:szCs w:val="22"/>
              </w:rPr>
              <w:t>s</w:t>
            </w:r>
            <w:r w:rsidR="0077339F" w:rsidRPr="0090520E">
              <w:rPr>
                <w:sz w:val="22"/>
                <w:szCs w:val="22"/>
              </w:rPr>
              <w:t>stigningen</w:t>
            </w:r>
            <w:r w:rsidRPr="0090520E">
              <w:rPr>
                <w:sz w:val="22"/>
                <w:szCs w:val="22"/>
              </w:rPr>
              <w:t xml:space="preserve"> nedsættes samtidig energiafgifterne på el og brændsel, som virksomheder anvender til procesformål. </w:t>
            </w:r>
          </w:p>
          <w:p w:rsidR="005B36A7" w:rsidRPr="0090520E" w:rsidRDefault="00022A1C" w:rsidP="000D2FF3">
            <w:pPr>
              <w:rPr>
                <w:sz w:val="22"/>
                <w:szCs w:val="22"/>
              </w:rPr>
            </w:pPr>
            <w:r w:rsidRPr="0090520E">
              <w:rPr>
                <w:sz w:val="22"/>
                <w:szCs w:val="22"/>
              </w:rPr>
              <w:t>D</w:t>
            </w:r>
            <w:r w:rsidR="000D2FF3" w:rsidRPr="0090520E">
              <w:rPr>
                <w:sz w:val="22"/>
                <w:szCs w:val="22"/>
              </w:rPr>
              <w:t>et er et overordnet princip i energiafgiftslovene for de foss</w:t>
            </w:r>
            <w:r w:rsidR="000D2FF3" w:rsidRPr="0090520E">
              <w:rPr>
                <w:sz w:val="22"/>
                <w:szCs w:val="22"/>
              </w:rPr>
              <w:t>i</w:t>
            </w:r>
            <w:r w:rsidR="000D2FF3" w:rsidRPr="0090520E">
              <w:rPr>
                <w:sz w:val="22"/>
                <w:szCs w:val="22"/>
              </w:rPr>
              <w:t>le brændsler, at afgiften afhæ</w:t>
            </w:r>
            <w:r w:rsidR="000D2FF3" w:rsidRPr="0090520E">
              <w:rPr>
                <w:sz w:val="22"/>
                <w:szCs w:val="22"/>
              </w:rPr>
              <w:t>n</w:t>
            </w:r>
            <w:r w:rsidR="000D2FF3" w:rsidRPr="0090520E">
              <w:rPr>
                <w:sz w:val="22"/>
                <w:szCs w:val="22"/>
              </w:rPr>
              <w:t>ger af</w:t>
            </w:r>
            <w:r w:rsidR="0077339F" w:rsidRPr="0090520E">
              <w:rPr>
                <w:sz w:val="22"/>
                <w:szCs w:val="22"/>
              </w:rPr>
              <w:t>,</w:t>
            </w:r>
            <w:r w:rsidR="000D2FF3" w:rsidRPr="0090520E">
              <w:rPr>
                <w:sz w:val="22"/>
                <w:szCs w:val="22"/>
              </w:rPr>
              <w:t xml:space="preserve"> til hvilket formål brændslet er anvendt. Der so</w:t>
            </w:r>
            <w:r w:rsidR="000D2FF3" w:rsidRPr="0090520E">
              <w:rPr>
                <w:sz w:val="22"/>
                <w:szCs w:val="22"/>
              </w:rPr>
              <w:t>n</w:t>
            </w:r>
            <w:r w:rsidR="000D2FF3" w:rsidRPr="0090520E">
              <w:rPr>
                <w:sz w:val="22"/>
                <w:szCs w:val="22"/>
              </w:rPr>
              <w:t>dres således mellem brændsle</w:t>
            </w:r>
            <w:r w:rsidR="00000033" w:rsidRPr="0090520E">
              <w:rPr>
                <w:sz w:val="22"/>
                <w:szCs w:val="22"/>
              </w:rPr>
              <w:t>r anvendt til rumvarme m.v., herunder en række andre fo</w:t>
            </w:r>
            <w:r w:rsidR="00000033" w:rsidRPr="0090520E">
              <w:rPr>
                <w:sz w:val="22"/>
                <w:szCs w:val="22"/>
              </w:rPr>
              <w:t>r</w:t>
            </w:r>
            <w:r w:rsidR="00000033" w:rsidRPr="0090520E">
              <w:rPr>
                <w:sz w:val="22"/>
                <w:szCs w:val="22"/>
              </w:rPr>
              <w:t xml:space="preserve">mål, </w:t>
            </w:r>
            <w:r w:rsidR="000D2FF3" w:rsidRPr="0090520E">
              <w:rPr>
                <w:sz w:val="22"/>
                <w:szCs w:val="22"/>
              </w:rPr>
              <w:t xml:space="preserve">og brændsler anvendt til procesforbrug. </w:t>
            </w:r>
          </w:p>
          <w:p w:rsidR="005B36A7" w:rsidRPr="0090520E" w:rsidRDefault="00022A1C" w:rsidP="00E73996">
            <w:pPr>
              <w:rPr>
                <w:sz w:val="22"/>
                <w:szCs w:val="22"/>
              </w:rPr>
            </w:pPr>
            <w:r w:rsidRPr="0090520E">
              <w:rPr>
                <w:sz w:val="22"/>
                <w:szCs w:val="22"/>
              </w:rPr>
              <w:t>Som følge heraf vil konsekve</w:t>
            </w:r>
            <w:r w:rsidRPr="0090520E">
              <w:rPr>
                <w:sz w:val="22"/>
                <w:szCs w:val="22"/>
              </w:rPr>
              <w:t>n</w:t>
            </w:r>
            <w:r w:rsidRPr="0090520E">
              <w:rPr>
                <w:sz w:val="22"/>
                <w:szCs w:val="22"/>
              </w:rPr>
              <w:t xml:space="preserve">serne for de forskellige erhverv afhænge af til hvilke formål, de anvender de pågældende brændsler. </w:t>
            </w:r>
          </w:p>
          <w:p w:rsidR="007942B5" w:rsidRPr="0090520E" w:rsidRDefault="00F338AC" w:rsidP="00E73996">
            <w:pPr>
              <w:rPr>
                <w:sz w:val="22"/>
                <w:szCs w:val="22"/>
              </w:rPr>
            </w:pPr>
            <w:r w:rsidRPr="0090520E">
              <w:rPr>
                <w:sz w:val="22"/>
                <w:szCs w:val="22"/>
              </w:rPr>
              <w:t>Som det fremgår af lovforsl</w:t>
            </w:r>
            <w:r w:rsidRPr="0090520E">
              <w:rPr>
                <w:sz w:val="22"/>
                <w:szCs w:val="22"/>
              </w:rPr>
              <w:t>a</w:t>
            </w:r>
            <w:r w:rsidRPr="0090520E">
              <w:rPr>
                <w:sz w:val="22"/>
                <w:szCs w:val="22"/>
              </w:rPr>
              <w:t xml:space="preserve">gets bemærkninger om samlede konsekvenser for erhvervslivet betyder </w:t>
            </w:r>
            <w:r w:rsidR="00F11BA8" w:rsidRPr="0090520E">
              <w:rPr>
                <w:sz w:val="22"/>
                <w:szCs w:val="22"/>
              </w:rPr>
              <w:t>lovforslaget</w:t>
            </w:r>
            <w:r w:rsidRPr="0090520E">
              <w:rPr>
                <w:sz w:val="22"/>
                <w:szCs w:val="22"/>
              </w:rPr>
              <w:t xml:space="preserve"> en nettob</w:t>
            </w:r>
            <w:r w:rsidRPr="0090520E">
              <w:rPr>
                <w:sz w:val="22"/>
                <w:szCs w:val="22"/>
              </w:rPr>
              <w:t>e</w:t>
            </w:r>
            <w:r w:rsidRPr="0090520E">
              <w:rPr>
                <w:sz w:val="22"/>
                <w:szCs w:val="22"/>
              </w:rPr>
              <w:t xml:space="preserve">lastning for de private erhverv under </w:t>
            </w:r>
            <w:r w:rsidRPr="0059577A">
              <w:rPr>
                <w:sz w:val="22"/>
                <w:szCs w:val="22"/>
              </w:rPr>
              <w:t>ét med ca. 40 mio. kr. i 2013</w:t>
            </w:r>
            <w:r w:rsidR="00002968" w:rsidRPr="0059577A">
              <w:rPr>
                <w:sz w:val="22"/>
                <w:szCs w:val="22"/>
              </w:rPr>
              <w:t xml:space="preserve">. </w:t>
            </w:r>
            <w:r w:rsidR="00A52574" w:rsidRPr="0059577A">
              <w:rPr>
                <w:sz w:val="22"/>
                <w:szCs w:val="22"/>
              </w:rPr>
              <w:t>Heraf skønnes handel og service at få en samlet belas</w:t>
            </w:r>
            <w:r w:rsidR="00A52574" w:rsidRPr="0059577A">
              <w:rPr>
                <w:sz w:val="22"/>
                <w:szCs w:val="22"/>
              </w:rPr>
              <w:t>t</w:t>
            </w:r>
            <w:r w:rsidR="00A52574" w:rsidRPr="0059577A">
              <w:rPr>
                <w:sz w:val="22"/>
                <w:szCs w:val="22"/>
              </w:rPr>
              <w:t>ning på ca. 100 mio. kr. i 2013, hvorimod industrien skønnes at få en gevinst svarende til ca. 60 mio. kr.</w:t>
            </w:r>
          </w:p>
          <w:p w:rsidR="005B36A7" w:rsidRDefault="00F11BA8" w:rsidP="00E73996">
            <w:pPr>
              <w:rPr>
                <w:sz w:val="22"/>
                <w:szCs w:val="22"/>
              </w:rPr>
            </w:pPr>
            <w:r w:rsidRPr="0090520E">
              <w:rPr>
                <w:sz w:val="22"/>
                <w:szCs w:val="22"/>
              </w:rPr>
              <w:t>D</w:t>
            </w:r>
            <w:r w:rsidR="00022A1C" w:rsidRPr="0090520E">
              <w:rPr>
                <w:sz w:val="22"/>
                <w:szCs w:val="22"/>
              </w:rPr>
              <w:t>er henvises i øvrigt til tabel 2 i forslagets bemærkninger for så vidt angår konsekvenserne for de forskellige erhverv.</w:t>
            </w:r>
            <w:r w:rsidR="00022A1C" w:rsidRPr="0051528A">
              <w:rPr>
                <w:sz w:val="22"/>
                <w:szCs w:val="22"/>
              </w:rPr>
              <w:t xml:space="preserve"> </w:t>
            </w:r>
          </w:p>
          <w:p w:rsidR="005B36A7" w:rsidRPr="0051528A" w:rsidRDefault="005B36A7" w:rsidP="00E73996">
            <w:pPr>
              <w:rPr>
                <w:sz w:val="22"/>
                <w:szCs w:val="22"/>
              </w:rPr>
            </w:pPr>
          </w:p>
          <w:p w:rsidR="00491109" w:rsidRPr="00A72BF0" w:rsidRDefault="00CD21FC" w:rsidP="00E73996">
            <w:r w:rsidRPr="00A72BF0">
              <w:rPr>
                <w:sz w:val="22"/>
                <w:szCs w:val="22"/>
              </w:rPr>
              <w:t xml:space="preserve">Forsyningssikkerhedsafgiften på både fossile brændsler og biomasse skal finansiere en række energipolitiske initiativer som aftalt i </w:t>
            </w:r>
            <w:r w:rsidRPr="00A72BF0">
              <w:rPr>
                <w:i/>
                <w:sz w:val="22"/>
                <w:szCs w:val="22"/>
              </w:rPr>
              <w:t>Energiaftalen 2012</w:t>
            </w:r>
            <w:r w:rsidRPr="00A72BF0">
              <w:rPr>
                <w:sz w:val="22"/>
                <w:szCs w:val="22"/>
              </w:rPr>
              <w:t xml:space="preserve"> og </w:t>
            </w:r>
            <w:r w:rsidRPr="00A72BF0">
              <w:rPr>
                <w:i/>
                <w:sz w:val="22"/>
                <w:szCs w:val="22"/>
              </w:rPr>
              <w:t>Solcelleaftalen</w:t>
            </w:r>
            <w:r w:rsidRPr="00A72BF0">
              <w:rPr>
                <w:sz w:val="22"/>
                <w:szCs w:val="22"/>
              </w:rPr>
              <w:t>.</w:t>
            </w:r>
            <w:r w:rsidR="00491109" w:rsidRPr="00A72BF0">
              <w:t xml:space="preserve"> </w:t>
            </w:r>
          </w:p>
          <w:p w:rsidR="00BA28E7" w:rsidRPr="00A72BF0" w:rsidRDefault="00491109" w:rsidP="00E73996">
            <w:pPr>
              <w:rPr>
                <w:sz w:val="22"/>
                <w:szCs w:val="22"/>
              </w:rPr>
            </w:pPr>
            <w:r w:rsidRPr="00A72BF0">
              <w:rPr>
                <w:sz w:val="22"/>
                <w:szCs w:val="22"/>
              </w:rPr>
              <w:t xml:space="preserve">På </w:t>
            </w:r>
            <w:r w:rsidR="00957FB2" w:rsidRPr="00A72BF0">
              <w:rPr>
                <w:sz w:val="22"/>
                <w:szCs w:val="22"/>
              </w:rPr>
              <w:t>længere</w:t>
            </w:r>
            <w:r w:rsidRPr="00A72BF0">
              <w:rPr>
                <w:sz w:val="22"/>
                <w:szCs w:val="22"/>
              </w:rPr>
              <w:t xml:space="preserve"> sigt er der fors</w:t>
            </w:r>
            <w:r w:rsidRPr="00A72BF0">
              <w:rPr>
                <w:sz w:val="22"/>
                <w:szCs w:val="22"/>
              </w:rPr>
              <w:t>y</w:t>
            </w:r>
            <w:r w:rsidRPr="00A72BF0">
              <w:rPr>
                <w:sz w:val="22"/>
                <w:szCs w:val="22"/>
              </w:rPr>
              <w:t>ningssikkerhedsmæssige he</w:t>
            </w:r>
            <w:r w:rsidRPr="00A72BF0">
              <w:rPr>
                <w:sz w:val="22"/>
                <w:szCs w:val="22"/>
              </w:rPr>
              <w:t>n</w:t>
            </w:r>
            <w:r w:rsidRPr="00A72BF0">
              <w:rPr>
                <w:sz w:val="22"/>
                <w:szCs w:val="22"/>
              </w:rPr>
              <w:t>syn i forhold til både fossile brændsler og biomasse. Afgift</w:t>
            </w:r>
            <w:r w:rsidRPr="00A72BF0">
              <w:rPr>
                <w:sz w:val="22"/>
                <w:szCs w:val="22"/>
              </w:rPr>
              <w:t>s</w:t>
            </w:r>
            <w:r w:rsidRPr="00A72BF0">
              <w:rPr>
                <w:sz w:val="22"/>
                <w:szCs w:val="22"/>
              </w:rPr>
              <w:t>forhøjelserne bidrager til o</w:t>
            </w:r>
            <w:r w:rsidRPr="00A72BF0">
              <w:rPr>
                <w:sz w:val="22"/>
                <w:szCs w:val="22"/>
              </w:rPr>
              <w:t>m</w:t>
            </w:r>
            <w:r w:rsidRPr="00A72BF0">
              <w:rPr>
                <w:sz w:val="22"/>
                <w:szCs w:val="22"/>
              </w:rPr>
              <w:t>stillingen til vedvarende energi.</w:t>
            </w: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Default="00BA28E7" w:rsidP="00E73996">
            <w:pPr>
              <w:rPr>
                <w:sz w:val="22"/>
                <w:szCs w:val="22"/>
                <w:highlight w:val="yellow"/>
              </w:rPr>
            </w:pPr>
          </w:p>
          <w:p w:rsidR="00187157" w:rsidRDefault="00187157" w:rsidP="00E73996">
            <w:pPr>
              <w:rPr>
                <w:sz w:val="22"/>
                <w:szCs w:val="22"/>
                <w:highlight w:val="yellow"/>
              </w:rPr>
            </w:pPr>
          </w:p>
          <w:p w:rsidR="00187157" w:rsidRDefault="00187157" w:rsidP="00E73996">
            <w:pPr>
              <w:rPr>
                <w:sz w:val="22"/>
                <w:szCs w:val="22"/>
                <w:highlight w:val="yellow"/>
              </w:rPr>
            </w:pPr>
          </w:p>
          <w:p w:rsidR="00187157" w:rsidRDefault="00187157" w:rsidP="00E73996">
            <w:pPr>
              <w:rPr>
                <w:sz w:val="22"/>
                <w:szCs w:val="22"/>
                <w:highlight w:val="yellow"/>
              </w:rPr>
            </w:pPr>
          </w:p>
          <w:p w:rsidR="009C4B00" w:rsidRPr="00A72BF0" w:rsidRDefault="009C4B00" w:rsidP="00E73996">
            <w:pPr>
              <w:rPr>
                <w:sz w:val="22"/>
                <w:szCs w:val="22"/>
                <w:highlight w:val="yellow"/>
              </w:rPr>
            </w:pPr>
          </w:p>
          <w:p w:rsidR="009B419A" w:rsidRPr="00A72BF0" w:rsidRDefault="009B419A" w:rsidP="009B419A">
            <w:pPr>
              <w:rPr>
                <w:sz w:val="22"/>
                <w:szCs w:val="22"/>
              </w:rPr>
            </w:pPr>
            <w:r w:rsidRPr="00A72BF0">
              <w:rPr>
                <w:sz w:val="22"/>
                <w:szCs w:val="22"/>
              </w:rPr>
              <w:t>Den afgiftsmæssige behandling af industriel overskudsvarme tilsigter en balance mellem to overordnede hensyn.</w:t>
            </w:r>
          </w:p>
          <w:p w:rsidR="009B419A" w:rsidRPr="00A72BF0" w:rsidRDefault="009B419A" w:rsidP="009B419A">
            <w:pPr>
              <w:rPr>
                <w:sz w:val="22"/>
                <w:szCs w:val="22"/>
              </w:rPr>
            </w:pPr>
            <w:r w:rsidRPr="00A72BF0">
              <w:rPr>
                <w:sz w:val="22"/>
                <w:szCs w:val="22"/>
              </w:rPr>
              <w:t>Det ene hensyn er, at virkso</w:t>
            </w:r>
            <w:r w:rsidRPr="00A72BF0">
              <w:rPr>
                <w:sz w:val="22"/>
                <w:szCs w:val="22"/>
              </w:rPr>
              <w:t>m</w:t>
            </w:r>
            <w:r w:rsidRPr="00A72BF0">
              <w:rPr>
                <w:sz w:val="22"/>
                <w:szCs w:val="22"/>
              </w:rPr>
              <w:t>heder skal gives rimelige vilkår for at investere i en miljømæ</w:t>
            </w:r>
            <w:r w:rsidRPr="00A72BF0">
              <w:rPr>
                <w:sz w:val="22"/>
                <w:szCs w:val="22"/>
              </w:rPr>
              <w:t>s</w:t>
            </w:r>
            <w:r w:rsidRPr="00A72BF0">
              <w:rPr>
                <w:sz w:val="22"/>
                <w:szCs w:val="22"/>
              </w:rPr>
              <w:t>sig og økonomisk fornuftig u</w:t>
            </w:r>
            <w:r w:rsidRPr="00A72BF0">
              <w:rPr>
                <w:sz w:val="22"/>
                <w:szCs w:val="22"/>
              </w:rPr>
              <w:t>d</w:t>
            </w:r>
            <w:r w:rsidRPr="00A72BF0">
              <w:rPr>
                <w:sz w:val="22"/>
                <w:szCs w:val="22"/>
              </w:rPr>
              <w:t>nyttelse af overskudsvarme, som kan reducere det samlede energiforbrug</w:t>
            </w:r>
            <w:r w:rsidR="00E553C0">
              <w:rPr>
                <w:sz w:val="22"/>
                <w:szCs w:val="22"/>
              </w:rPr>
              <w:t>,</w:t>
            </w:r>
            <w:r w:rsidRPr="00A72BF0">
              <w:rPr>
                <w:sz w:val="22"/>
                <w:szCs w:val="22"/>
              </w:rPr>
              <w:t xml:space="preserve"> og som, hvis den ikke blev udnyttet, ellers ville gå til spilde. </w:t>
            </w:r>
          </w:p>
          <w:p w:rsidR="009B419A" w:rsidRPr="00A72BF0" w:rsidRDefault="009B419A" w:rsidP="009B419A">
            <w:pPr>
              <w:rPr>
                <w:sz w:val="22"/>
                <w:szCs w:val="22"/>
              </w:rPr>
            </w:pPr>
            <w:r w:rsidRPr="00A72BF0">
              <w:rPr>
                <w:sz w:val="22"/>
                <w:szCs w:val="22"/>
              </w:rPr>
              <w:t>Det andet hensyn er behovet for at undgå, at afgiftssystemet g</w:t>
            </w:r>
            <w:r w:rsidRPr="00A72BF0">
              <w:rPr>
                <w:sz w:val="22"/>
                <w:szCs w:val="22"/>
              </w:rPr>
              <w:t>i</w:t>
            </w:r>
            <w:r w:rsidRPr="00A72BF0">
              <w:rPr>
                <w:sz w:val="22"/>
                <w:szCs w:val="22"/>
              </w:rPr>
              <w:t>ver virksomheder et for stort incitament til »fremstilling« af »overskudsvarme« i ulige ko</w:t>
            </w:r>
            <w:r w:rsidRPr="00A72BF0">
              <w:rPr>
                <w:sz w:val="22"/>
                <w:szCs w:val="22"/>
              </w:rPr>
              <w:t>n</w:t>
            </w:r>
            <w:r w:rsidRPr="00A72BF0">
              <w:rPr>
                <w:sz w:val="22"/>
                <w:szCs w:val="22"/>
              </w:rPr>
              <w:t>kurrence med den almindelige afgiftsbelagte fjernvarmepr</w:t>
            </w:r>
            <w:r w:rsidRPr="00A72BF0">
              <w:rPr>
                <w:sz w:val="22"/>
                <w:szCs w:val="22"/>
              </w:rPr>
              <w:t>o</w:t>
            </w:r>
            <w:r w:rsidRPr="00A72BF0">
              <w:rPr>
                <w:sz w:val="22"/>
                <w:szCs w:val="22"/>
              </w:rPr>
              <w:t xml:space="preserve">duktion. </w:t>
            </w:r>
          </w:p>
          <w:p w:rsidR="00BA28E7" w:rsidRPr="00A72BF0" w:rsidRDefault="009B419A" w:rsidP="009B419A">
            <w:pPr>
              <w:rPr>
                <w:sz w:val="22"/>
                <w:szCs w:val="22"/>
              </w:rPr>
            </w:pPr>
            <w:r w:rsidRPr="00A72BF0">
              <w:rPr>
                <w:sz w:val="22"/>
                <w:szCs w:val="22"/>
              </w:rPr>
              <w:t>Satserne for overskudsvarmea</w:t>
            </w:r>
            <w:r w:rsidRPr="00A72BF0">
              <w:rPr>
                <w:sz w:val="22"/>
                <w:szCs w:val="22"/>
              </w:rPr>
              <w:t>f</w:t>
            </w:r>
            <w:r w:rsidRPr="00A72BF0">
              <w:rPr>
                <w:sz w:val="22"/>
                <w:szCs w:val="22"/>
              </w:rPr>
              <w:t>giften er afstemt med satsen på brændsel til rumvarmefor-mål. Som følge heraf indeholder fo</w:t>
            </w:r>
            <w:r w:rsidRPr="00A72BF0">
              <w:rPr>
                <w:sz w:val="22"/>
                <w:szCs w:val="22"/>
              </w:rPr>
              <w:t>r</w:t>
            </w:r>
            <w:r w:rsidRPr="00A72BF0">
              <w:rPr>
                <w:sz w:val="22"/>
                <w:szCs w:val="22"/>
              </w:rPr>
              <w:t>slaget en regulering heraf.</w:t>
            </w:r>
          </w:p>
          <w:p w:rsidR="00BA28E7" w:rsidRDefault="00BA28E7" w:rsidP="00E73996">
            <w:pPr>
              <w:rPr>
                <w:sz w:val="22"/>
                <w:szCs w:val="22"/>
              </w:rPr>
            </w:pPr>
          </w:p>
          <w:p w:rsidR="00F06D9D" w:rsidRDefault="00F06D9D" w:rsidP="00E73996">
            <w:pPr>
              <w:rPr>
                <w:sz w:val="22"/>
                <w:szCs w:val="22"/>
              </w:rPr>
            </w:pPr>
          </w:p>
          <w:p w:rsidR="00F06D9D" w:rsidRDefault="00F06D9D" w:rsidP="00E73996">
            <w:pPr>
              <w:rPr>
                <w:sz w:val="22"/>
                <w:szCs w:val="22"/>
              </w:rPr>
            </w:pPr>
          </w:p>
          <w:p w:rsidR="00F06D9D" w:rsidRDefault="00F06D9D" w:rsidP="00E73996">
            <w:pPr>
              <w:rPr>
                <w:sz w:val="22"/>
                <w:szCs w:val="22"/>
              </w:rPr>
            </w:pPr>
          </w:p>
          <w:p w:rsidR="00F06D9D" w:rsidRDefault="00F06D9D" w:rsidP="00E73996">
            <w:pPr>
              <w:rPr>
                <w:sz w:val="22"/>
                <w:szCs w:val="22"/>
              </w:rPr>
            </w:pPr>
          </w:p>
          <w:p w:rsidR="00F06D9D" w:rsidRDefault="00F06D9D" w:rsidP="00E73996">
            <w:pPr>
              <w:rPr>
                <w:sz w:val="22"/>
                <w:szCs w:val="22"/>
              </w:rPr>
            </w:pPr>
          </w:p>
          <w:p w:rsidR="00F06D9D" w:rsidRDefault="00F06D9D" w:rsidP="00E73996">
            <w:pPr>
              <w:rPr>
                <w:sz w:val="22"/>
                <w:szCs w:val="22"/>
              </w:rPr>
            </w:pPr>
          </w:p>
          <w:p w:rsidR="00187157" w:rsidRDefault="00187157" w:rsidP="00E73996">
            <w:pPr>
              <w:rPr>
                <w:sz w:val="22"/>
                <w:szCs w:val="22"/>
              </w:rPr>
            </w:pPr>
          </w:p>
          <w:p w:rsidR="00F06D9D" w:rsidRPr="0051528A" w:rsidRDefault="00F06D9D" w:rsidP="00E73996">
            <w:pPr>
              <w:rPr>
                <w:sz w:val="22"/>
                <w:szCs w:val="22"/>
              </w:rPr>
            </w:pPr>
          </w:p>
          <w:p w:rsidR="00BA28E7" w:rsidRPr="0051528A" w:rsidRDefault="00431BFA" w:rsidP="00E73996">
            <w:pPr>
              <w:rPr>
                <w:sz w:val="22"/>
                <w:szCs w:val="22"/>
              </w:rPr>
            </w:pPr>
            <w:r w:rsidRPr="0090520E">
              <w:rPr>
                <w:sz w:val="22"/>
                <w:szCs w:val="22"/>
              </w:rPr>
              <w:t xml:space="preserve">Der henvises til </w:t>
            </w:r>
            <w:r w:rsidR="007942B5" w:rsidRPr="0090520E">
              <w:rPr>
                <w:sz w:val="22"/>
                <w:szCs w:val="22"/>
              </w:rPr>
              <w:t>kommentaren til Dansk Erhvervs indledende bemærkninger.</w:t>
            </w: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AE5EA2" w:rsidRDefault="00AE5EA2" w:rsidP="00E73996">
            <w:pPr>
              <w:rPr>
                <w:sz w:val="22"/>
                <w:szCs w:val="22"/>
                <w:highlight w:val="yellow"/>
              </w:rPr>
            </w:pPr>
          </w:p>
          <w:p w:rsidR="00187157" w:rsidRPr="00A72BF0" w:rsidRDefault="00187157" w:rsidP="00E73996">
            <w:pPr>
              <w:rPr>
                <w:sz w:val="22"/>
                <w:szCs w:val="22"/>
                <w:highlight w:val="yellow"/>
              </w:rPr>
            </w:pPr>
          </w:p>
          <w:p w:rsidR="003F3BCC" w:rsidRPr="00A72BF0" w:rsidRDefault="003F3BCC" w:rsidP="00E73996">
            <w:pPr>
              <w:rPr>
                <w:sz w:val="22"/>
                <w:szCs w:val="22"/>
              </w:rPr>
            </w:pPr>
            <w:r w:rsidRPr="00A72BF0">
              <w:rPr>
                <w:sz w:val="22"/>
                <w:szCs w:val="22"/>
              </w:rPr>
              <w:t xml:space="preserve">Som følge af både </w:t>
            </w:r>
            <w:r w:rsidRPr="00A72BF0">
              <w:rPr>
                <w:i/>
                <w:sz w:val="22"/>
                <w:szCs w:val="22"/>
              </w:rPr>
              <w:t>Energiaft</w:t>
            </w:r>
            <w:r w:rsidRPr="00A72BF0">
              <w:rPr>
                <w:i/>
                <w:sz w:val="22"/>
                <w:szCs w:val="22"/>
              </w:rPr>
              <w:t>a</w:t>
            </w:r>
            <w:r w:rsidRPr="00A72BF0">
              <w:rPr>
                <w:i/>
                <w:sz w:val="22"/>
                <w:szCs w:val="22"/>
              </w:rPr>
              <w:t xml:space="preserve">len 2012 </w:t>
            </w:r>
            <w:r w:rsidRPr="00A72BF0">
              <w:rPr>
                <w:sz w:val="22"/>
                <w:szCs w:val="22"/>
              </w:rPr>
              <w:t xml:space="preserve">og </w:t>
            </w:r>
            <w:r w:rsidRPr="00A72BF0">
              <w:rPr>
                <w:i/>
                <w:sz w:val="22"/>
                <w:szCs w:val="22"/>
              </w:rPr>
              <w:t>Solcelleaftalen</w:t>
            </w:r>
            <w:r w:rsidRPr="00A72BF0">
              <w:rPr>
                <w:sz w:val="22"/>
                <w:szCs w:val="22"/>
              </w:rPr>
              <w:t xml:space="preserve"> f</w:t>
            </w:r>
            <w:r w:rsidRPr="00A72BF0">
              <w:rPr>
                <w:sz w:val="22"/>
                <w:szCs w:val="22"/>
              </w:rPr>
              <w:t>i</w:t>
            </w:r>
            <w:r w:rsidRPr="00A72BF0">
              <w:rPr>
                <w:sz w:val="22"/>
                <w:szCs w:val="22"/>
              </w:rPr>
              <w:t>nansierer forsyningssikkerhed</w:t>
            </w:r>
            <w:r w:rsidRPr="00A72BF0">
              <w:rPr>
                <w:sz w:val="22"/>
                <w:szCs w:val="22"/>
              </w:rPr>
              <w:t>s</w:t>
            </w:r>
            <w:r w:rsidRPr="00A72BF0">
              <w:rPr>
                <w:sz w:val="22"/>
                <w:szCs w:val="22"/>
              </w:rPr>
              <w:t>afgiften et statsligt provenutab i forbindelse med den grønne omstilling af den danske ene</w:t>
            </w:r>
            <w:r w:rsidRPr="00A72BF0">
              <w:rPr>
                <w:sz w:val="22"/>
                <w:szCs w:val="22"/>
              </w:rPr>
              <w:t>r</w:t>
            </w:r>
            <w:r w:rsidRPr="00A72BF0">
              <w:rPr>
                <w:sz w:val="22"/>
                <w:szCs w:val="22"/>
              </w:rPr>
              <w:t xml:space="preserve">gisektor.  </w:t>
            </w: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7313DD" w:rsidRPr="00A72BF0" w:rsidRDefault="007313DD" w:rsidP="00E73996">
            <w:pPr>
              <w:rPr>
                <w:sz w:val="22"/>
                <w:szCs w:val="22"/>
                <w:highlight w:val="yellow"/>
              </w:rPr>
            </w:pPr>
          </w:p>
          <w:p w:rsidR="00BA28E7" w:rsidRPr="00A72BF0" w:rsidRDefault="00BA28E7" w:rsidP="00E73996">
            <w:pPr>
              <w:rPr>
                <w:sz w:val="22"/>
                <w:szCs w:val="22"/>
              </w:rPr>
            </w:pPr>
            <w:r w:rsidRPr="00A72BF0">
              <w:rPr>
                <w:sz w:val="22"/>
                <w:szCs w:val="22"/>
              </w:rPr>
              <w:t>I lovforslag angiver Skattemin</w:t>
            </w:r>
            <w:r w:rsidRPr="00A72BF0">
              <w:rPr>
                <w:sz w:val="22"/>
                <w:szCs w:val="22"/>
              </w:rPr>
              <w:t>i</w:t>
            </w:r>
            <w:r w:rsidRPr="00A72BF0">
              <w:rPr>
                <w:sz w:val="22"/>
                <w:szCs w:val="22"/>
              </w:rPr>
              <w:t>steriet som standard proven</w:t>
            </w:r>
            <w:r w:rsidRPr="00A72BF0">
              <w:rPr>
                <w:sz w:val="22"/>
                <w:szCs w:val="22"/>
              </w:rPr>
              <w:t>u</w:t>
            </w:r>
            <w:r w:rsidRPr="00A72BF0">
              <w:rPr>
                <w:sz w:val="22"/>
                <w:szCs w:val="22"/>
              </w:rPr>
              <w:t>virkningerne efter tilbageløb samt adfærd- og arbejdsu</w:t>
            </w:r>
            <w:r w:rsidRPr="00A72BF0">
              <w:rPr>
                <w:sz w:val="22"/>
                <w:szCs w:val="22"/>
              </w:rPr>
              <w:t>d</w:t>
            </w:r>
            <w:r w:rsidRPr="00A72BF0">
              <w:rPr>
                <w:sz w:val="22"/>
                <w:szCs w:val="22"/>
              </w:rPr>
              <w:t xml:space="preserve">budseffekter. </w:t>
            </w: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BA28E7" w:rsidRPr="00A72BF0" w:rsidRDefault="00BA28E7" w:rsidP="00E73996">
            <w:pPr>
              <w:rPr>
                <w:sz w:val="22"/>
                <w:szCs w:val="22"/>
                <w:highlight w:val="yellow"/>
              </w:rPr>
            </w:pPr>
          </w:p>
          <w:p w:rsidR="003F3BCC" w:rsidRPr="00A72BF0" w:rsidRDefault="003F3BCC" w:rsidP="00E73996">
            <w:pPr>
              <w:rPr>
                <w:sz w:val="22"/>
                <w:szCs w:val="22"/>
                <w:highlight w:val="yellow"/>
              </w:rPr>
            </w:pPr>
          </w:p>
          <w:p w:rsidR="003F3BCC" w:rsidRPr="00A72BF0" w:rsidRDefault="003F3BCC" w:rsidP="00E73996">
            <w:pPr>
              <w:rPr>
                <w:sz w:val="22"/>
                <w:szCs w:val="22"/>
                <w:highlight w:val="yellow"/>
              </w:rPr>
            </w:pPr>
          </w:p>
          <w:p w:rsidR="003F3BCC" w:rsidRPr="00A72BF0" w:rsidRDefault="003F3BCC" w:rsidP="00E73996">
            <w:pPr>
              <w:rPr>
                <w:sz w:val="22"/>
                <w:szCs w:val="22"/>
                <w:highlight w:val="yellow"/>
              </w:rPr>
            </w:pPr>
          </w:p>
          <w:p w:rsidR="003F3BCC" w:rsidRPr="00A72BF0" w:rsidRDefault="003F3BCC" w:rsidP="00E73996">
            <w:pPr>
              <w:rPr>
                <w:sz w:val="22"/>
                <w:szCs w:val="22"/>
                <w:highlight w:val="yellow"/>
              </w:rPr>
            </w:pPr>
          </w:p>
          <w:p w:rsidR="003F3BCC" w:rsidRPr="00A72BF0" w:rsidRDefault="003F3BCC" w:rsidP="00E73996">
            <w:pPr>
              <w:rPr>
                <w:sz w:val="22"/>
                <w:szCs w:val="22"/>
                <w:highlight w:val="yellow"/>
              </w:rPr>
            </w:pPr>
          </w:p>
          <w:p w:rsidR="00BA28E7" w:rsidRPr="00A72BF0" w:rsidRDefault="0007061C" w:rsidP="0007061C">
            <w:pPr>
              <w:rPr>
                <w:sz w:val="22"/>
                <w:szCs w:val="22"/>
                <w:highlight w:val="yellow"/>
              </w:rPr>
            </w:pPr>
            <w:r w:rsidRPr="00A72BF0">
              <w:rPr>
                <w:sz w:val="22"/>
                <w:szCs w:val="22"/>
              </w:rPr>
              <w:t>Som anført tidligere har det af hensyn til f</w:t>
            </w:r>
            <w:r w:rsidR="00D71351" w:rsidRPr="00A72BF0">
              <w:rPr>
                <w:sz w:val="22"/>
                <w:szCs w:val="22"/>
              </w:rPr>
              <w:t xml:space="preserve">inansieringen af </w:t>
            </w:r>
            <w:r w:rsidR="00D71351" w:rsidRPr="00A72BF0">
              <w:rPr>
                <w:i/>
                <w:sz w:val="22"/>
                <w:szCs w:val="22"/>
              </w:rPr>
              <w:t>So</w:t>
            </w:r>
            <w:r w:rsidR="00D71351" w:rsidRPr="00A72BF0">
              <w:rPr>
                <w:i/>
                <w:sz w:val="22"/>
                <w:szCs w:val="22"/>
              </w:rPr>
              <w:t>l</w:t>
            </w:r>
            <w:r w:rsidR="00D71351" w:rsidRPr="00A72BF0">
              <w:rPr>
                <w:i/>
                <w:sz w:val="22"/>
                <w:szCs w:val="22"/>
              </w:rPr>
              <w:t>celleaftalen</w:t>
            </w:r>
            <w:r w:rsidR="00D71351" w:rsidRPr="00A72BF0">
              <w:rPr>
                <w:sz w:val="22"/>
                <w:szCs w:val="22"/>
              </w:rPr>
              <w:t xml:space="preserve"> været nødvendigt at fremrykke fremsættelsen af de</w:t>
            </w:r>
            <w:r w:rsidR="00D71351" w:rsidRPr="00A72BF0">
              <w:rPr>
                <w:sz w:val="22"/>
                <w:szCs w:val="22"/>
              </w:rPr>
              <w:t>t</w:t>
            </w:r>
            <w:r w:rsidR="00D71351" w:rsidRPr="00A72BF0">
              <w:rPr>
                <w:sz w:val="22"/>
                <w:szCs w:val="22"/>
              </w:rPr>
              <w:t>te lovforslag</w:t>
            </w:r>
            <w:r w:rsidRPr="00A72BF0">
              <w:rPr>
                <w:sz w:val="22"/>
                <w:szCs w:val="22"/>
              </w:rPr>
              <w:t>.</w:t>
            </w:r>
          </w:p>
        </w:tc>
      </w:tr>
      <w:tr w:rsidR="00D76301" w:rsidRPr="00073677" w:rsidTr="00464354">
        <w:tc>
          <w:tcPr>
            <w:tcW w:w="2093" w:type="dxa"/>
            <w:shd w:val="clear" w:color="auto" w:fill="auto"/>
          </w:tcPr>
          <w:p w:rsidR="00D76301" w:rsidRPr="00073677" w:rsidRDefault="00D76301">
            <w:pPr>
              <w:rPr>
                <w:sz w:val="22"/>
                <w:szCs w:val="22"/>
              </w:rPr>
            </w:pPr>
            <w:r w:rsidRPr="00073677">
              <w:rPr>
                <w:sz w:val="22"/>
                <w:szCs w:val="22"/>
              </w:rPr>
              <w:t xml:space="preserve">Danske Revisorer </w:t>
            </w:r>
          </w:p>
        </w:tc>
        <w:tc>
          <w:tcPr>
            <w:tcW w:w="3900" w:type="dxa"/>
            <w:shd w:val="clear" w:color="auto" w:fill="auto"/>
          </w:tcPr>
          <w:p w:rsidR="00D76301" w:rsidRPr="00073677" w:rsidRDefault="00D76301" w:rsidP="007840E3">
            <w:pPr>
              <w:rPr>
                <w:sz w:val="22"/>
                <w:szCs w:val="22"/>
              </w:rPr>
            </w:pPr>
            <w:r w:rsidRPr="00073677">
              <w:rPr>
                <w:sz w:val="22"/>
                <w:szCs w:val="22"/>
              </w:rPr>
              <w:t>Danske Revisorer har ingen bemærkni</w:t>
            </w:r>
            <w:r w:rsidRPr="00073677">
              <w:rPr>
                <w:sz w:val="22"/>
                <w:szCs w:val="22"/>
              </w:rPr>
              <w:t>n</w:t>
            </w:r>
            <w:r w:rsidRPr="00073677">
              <w:rPr>
                <w:sz w:val="22"/>
                <w:szCs w:val="22"/>
              </w:rPr>
              <w:t xml:space="preserve">ger. </w:t>
            </w:r>
          </w:p>
        </w:tc>
        <w:tc>
          <w:tcPr>
            <w:tcW w:w="3056" w:type="dxa"/>
            <w:shd w:val="clear" w:color="auto" w:fill="auto"/>
          </w:tcPr>
          <w:p w:rsidR="00D76301" w:rsidRPr="00073677" w:rsidRDefault="00D76301">
            <w:pPr>
              <w:rPr>
                <w:sz w:val="22"/>
                <w:szCs w:val="22"/>
              </w:rPr>
            </w:pPr>
          </w:p>
        </w:tc>
      </w:tr>
      <w:tr w:rsidR="00A514C4" w:rsidRPr="00073677" w:rsidTr="00464354">
        <w:tc>
          <w:tcPr>
            <w:tcW w:w="2093" w:type="dxa"/>
            <w:shd w:val="clear" w:color="auto" w:fill="auto"/>
          </w:tcPr>
          <w:p w:rsidR="00DF1370" w:rsidRPr="00073677" w:rsidRDefault="00A514C4">
            <w:pPr>
              <w:rPr>
                <w:sz w:val="22"/>
                <w:szCs w:val="22"/>
              </w:rPr>
            </w:pPr>
            <w:r w:rsidRPr="00073677">
              <w:rPr>
                <w:sz w:val="22"/>
                <w:szCs w:val="22"/>
              </w:rPr>
              <w:t>Konkurrence- og Forbrugerstyrelsen</w:t>
            </w:r>
          </w:p>
        </w:tc>
        <w:tc>
          <w:tcPr>
            <w:tcW w:w="3900" w:type="dxa"/>
            <w:shd w:val="clear" w:color="auto" w:fill="auto"/>
          </w:tcPr>
          <w:p w:rsidR="00DF1370" w:rsidRPr="00073677" w:rsidRDefault="00A514C4">
            <w:pPr>
              <w:rPr>
                <w:sz w:val="22"/>
                <w:szCs w:val="22"/>
              </w:rPr>
            </w:pPr>
            <w:r w:rsidRPr="00073677">
              <w:rPr>
                <w:sz w:val="22"/>
                <w:szCs w:val="22"/>
              </w:rPr>
              <w:t xml:space="preserve">Konkurrence- og Forbrugerstyrelsen har ingen bemærkninger. </w:t>
            </w:r>
          </w:p>
        </w:tc>
        <w:tc>
          <w:tcPr>
            <w:tcW w:w="3056" w:type="dxa"/>
            <w:shd w:val="clear" w:color="auto" w:fill="auto"/>
          </w:tcPr>
          <w:p w:rsidR="00DF1370" w:rsidRPr="00073677" w:rsidRDefault="00DF1370">
            <w:pPr>
              <w:rPr>
                <w:sz w:val="22"/>
                <w:szCs w:val="22"/>
              </w:rPr>
            </w:pPr>
          </w:p>
        </w:tc>
      </w:tr>
    </w:tbl>
    <w:p w:rsidR="00173EEF" w:rsidRDefault="00173EEF">
      <w:pPr>
        <w:rPr>
          <w:sz w:val="24"/>
        </w:rPr>
      </w:pPr>
    </w:p>
    <w:sectPr w:rsidR="00173EEF" w:rsidSect="00EC277C">
      <w:footerReference w:type="default" r:id="rId8"/>
      <w:headerReference w:type="first" r:id="rId9"/>
      <w:pgSz w:w="11906" w:h="16838" w:code="9"/>
      <w:pgMar w:top="1258" w:right="1826" w:bottom="1134" w:left="1247" w:header="180" w:footer="709" w:gutter="0"/>
      <w:paperSrc w:first="256" w:other="25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EC" w:rsidRDefault="00927CEC">
      <w:r>
        <w:separator/>
      </w:r>
    </w:p>
  </w:endnote>
  <w:endnote w:type="continuationSeparator" w:id="0">
    <w:p w:rsidR="00927CEC" w:rsidRDefault="0092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41" w:rsidRDefault="00F12941">
    <w:pPr>
      <w:pStyle w:val="DepartementSidefod"/>
      <w:jc w:val="right"/>
    </w:pPr>
    <w:r>
      <w:t xml:space="preserve">Side </w:t>
    </w:r>
    <w:r>
      <w:rPr>
        <w:rStyle w:val="Sidetal"/>
      </w:rPr>
      <w:fldChar w:fldCharType="begin"/>
    </w:r>
    <w:r>
      <w:rPr>
        <w:rStyle w:val="Sidetal"/>
      </w:rPr>
      <w:instrText xml:space="preserve"> PAGE </w:instrText>
    </w:r>
    <w:r>
      <w:rPr>
        <w:rStyle w:val="Sidetal"/>
      </w:rPr>
      <w:fldChar w:fldCharType="separate"/>
    </w:r>
    <w:r w:rsidR="0085396A">
      <w:rPr>
        <w:rStyle w:val="Sidetal"/>
        <w:noProof/>
      </w:rPr>
      <w:t>6</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EC" w:rsidRDefault="00927CEC">
      <w:r>
        <w:separator/>
      </w:r>
    </w:p>
  </w:footnote>
  <w:footnote w:type="continuationSeparator" w:id="0">
    <w:p w:rsidR="00927CEC" w:rsidRDefault="00927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8699" w:tblpY="1"/>
      <w:tblOverlap w:val="never"/>
      <w:tblW w:w="2484" w:type="dxa"/>
      <w:tblInd w:w="805" w:type="dxa"/>
      <w:tblCellMar>
        <w:top w:w="2262" w:type="dxa"/>
      </w:tblCellMar>
      <w:tblLook w:val="01E0" w:firstRow="1" w:lastRow="1" w:firstColumn="1" w:lastColumn="1" w:noHBand="0" w:noVBand="0"/>
    </w:tblPr>
    <w:tblGrid>
      <w:gridCol w:w="2484"/>
    </w:tblGrid>
    <w:tr w:rsidR="00F12941">
      <w:trPr>
        <w:trHeight w:val="12079"/>
      </w:trPr>
      <w:tc>
        <w:tcPr>
          <w:tcW w:w="2484" w:type="dxa"/>
        </w:tcPr>
        <w:p w:rsidR="00F12941" w:rsidRDefault="00F12941">
          <w:pPr>
            <w:pStyle w:val="Departementtekst"/>
            <w:ind w:right="-105"/>
            <w:rPr>
              <w:rFonts w:ascii="Arial" w:hAnsi="Arial" w:cs="Arial"/>
              <w:sz w:val="14"/>
              <w:lang w:val="en-GB"/>
            </w:rPr>
          </w:pPr>
          <w:r>
            <w:rPr>
              <w:rFonts w:ascii="Arial" w:hAnsi="Arial" w:cs="Arial"/>
              <w:sz w:val="14"/>
              <w:lang w:val="en-GB"/>
            </w:rPr>
            <w:t xml:space="preserve">   J.nr. </w:t>
          </w:r>
          <w:bookmarkStart w:id="0" w:name="sagsnr"/>
          <w:bookmarkEnd w:id="0"/>
          <w:r>
            <w:rPr>
              <w:rFonts w:ascii="Arial" w:hAnsi="Arial" w:cs="Arial"/>
              <w:sz w:val="14"/>
              <w:lang w:val="en-GB"/>
            </w:rPr>
            <w:t>12-0226912</w:t>
          </w:r>
        </w:p>
        <w:p w:rsidR="00F12941" w:rsidRDefault="00F12941">
          <w:pPr>
            <w:pStyle w:val="Departementtekst"/>
            <w:ind w:right="-105"/>
            <w:rPr>
              <w:rFonts w:ascii="Arial" w:hAnsi="Arial" w:cs="Arial"/>
              <w:bCs/>
              <w:sz w:val="14"/>
              <w:lang w:val="en-GB"/>
            </w:rPr>
          </w:pPr>
          <w:r>
            <w:rPr>
              <w:rFonts w:ascii="Arial" w:hAnsi="Arial" w:cs="Arial"/>
              <w:bCs/>
              <w:sz w:val="14"/>
              <w:lang w:val="en-GB"/>
            </w:rPr>
            <w:t xml:space="preserve">   </w:t>
          </w:r>
          <w:proofErr w:type="spellStart"/>
          <w:r>
            <w:rPr>
              <w:rFonts w:ascii="Arial" w:hAnsi="Arial" w:cs="Arial"/>
              <w:bCs/>
              <w:sz w:val="14"/>
              <w:lang w:val="en-GB"/>
            </w:rPr>
            <w:t>Dato</w:t>
          </w:r>
          <w:proofErr w:type="spellEnd"/>
          <w:r>
            <w:rPr>
              <w:rFonts w:ascii="Arial" w:hAnsi="Arial" w:cs="Arial"/>
              <w:bCs/>
              <w:sz w:val="14"/>
              <w:lang w:val="en-GB"/>
            </w:rPr>
            <w:t xml:space="preserve">: 11. </w:t>
          </w:r>
          <w:proofErr w:type="spellStart"/>
          <w:r>
            <w:rPr>
              <w:rFonts w:ascii="Arial" w:hAnsi="Arial" w:cs="Arial"/>
              <w:bCs/>
              <w:sz w:val="14"/>
              <w:lang w:val="en-GB"/>
            </w:rPr>
            <w:t>januar</w:t>
          </w:r>
          <w:proofErr w:type="spellEnd"/>
          <w:r>
            <w:rPr>
              <w:rFonts w:ascii="Arial" w:hAnsi="Arial" w:cs="Arial"/>
              <w:bCs/>
              <w:sz w:val="14"/>
              <w:lang w:val="en-GB"/>
            </w:rPr>
            <w:t xml:space="preserve"> 2013</w:t>
          </w:r>
        </w:p>
        <w:p w:rsidR="00F12941" w:rsidRDefault="00F12941">
          <w:pPr>
            <w:pStyle w:val="Departementtekst"/>
            <w:tabs>
              <w:tab w:val="left" w:pos="720"/>
            </w:tabs>
            <w:ind w:left="540" w:right="-105"/>
            <w:rPr>
              <w:sz w:val="14"/>
              <w:lang w:val="en-GB"/>
            </w:rPr>
          </w:pPr>
        </w:p>
        <w:p w:rsidR="00F12941" w:rsidRDefault="00F12941">
          <w:pPr>
            <w:pStyle w:val="Departementtekst"/>
            <w:ind w:left="540" w:right="-105"/>
            <w:rPr>
              <w:sz w:val="14"/>
              <w:lang w:val="en-GB"/>
            </w:rPr>
          </w:pPr>
        </w:p>
        <w:p w:rsidR="00F12941" w:rsidRDefault="00F12941">
          <w:pPr>
            <w:pStyle w:val="Departementtekst"/>
            <w:ind w:left="540" w:right="-105"/>
            <w:rPr>
              <w:sz w:val="14"/>
              <w:lang w:val="en-GB"/>
            </w:rPr>
          </w:pPr>
        </w:p>
        <w:p w:rsidR="00F12941" w:rsidRDefault="00F12941">
          <w:pPr>
            <w:pStyle w:val="Departementtekst"/>
            <w:rPr>
              <w:lang w:val="en-GB"/>
            </w:rPr>
          </w:pPr>
        </w:p>
      </w:tc>
    </w:tr>
  </w:tbl>
  <w:p w:rsidR="00F12941" w:rsidRDefault="00927CEC">
    <w:pPr>
      <w:pStyle w:val="Departementtekst"/>
      <w:ind w:right="-130"/>
      <w:jc w:val="right"/>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Beskrivelse: SKM" style="width:225pt;height:66pt;visibility:visible;mso-wrap-style:square">
          <v:imagedata r:id="rId1" o:title="SK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EEF"/>
    <w:rsid w:val="00000033"/>
    <w:rsid w:val="00002968"/>
    <w:rsid w:val="00022A1C"/>
    <w:rsid w:val="00042504"/>
    <w:rsid w:val="0007061C"/>
    <w:rsid w:val="00073677"/>
    <w:rsid w:val="000820AD"/>
    <w:rsid w:val="000D2FF3"/>
    <w:rsid w:val="001609F9"/>
    <w:rsid w:val="00173EEF"/>
    <w:rsid w:val="00187157"/>
    <w:rsid w:val="001E3E44"/>
    <w:rsid w:val="00217F5D"/>
    <w:rsid w:val="002B72BC"/>
    <w:rsid w:val="00350912"/>
    <w:rsid w:val="003840D2"/>
    <w:rsid w:val="00386CF1"/>
    <w:rsid w:val="003A670E"/>
    <w:rsid w:val="003F3BCC"/>
    <w:rsid w:val="003F49C4"/>
    <w:rsid w:val="00400756"/>
    <w:rsid w:val="00431BFA"/>
    <w:rsid w:val="00442244"/>
    <w:rsid w:val="00464354"/>
    <w:rsid w:val="00491109"/>
    <w:rsid w:val="00505D4C"/>
    <w:rsid w:val="0051528A"/>
    <w:rsid w:val="0051533D"/>
    <w:rsid w:val="0059577A"/>
    <w:rsid w:val="00597D53"/>
    <w:rsid w:val="005B36A7"/>
    <w:rsid w:val="006013FD"/>
    <w:rsid w:val="00650EA8"/>
    <w:rsid w:val="007127CE"/>
    <w:rsid w:val="00723D56"/>
    <w:rsid w:val="007313DD"/>
    <w:rsid w:val="0077339F"/>
    <w:rsid w:val="007840E3"/>
    <w:rsid w:val="007942B5"/>
    <w:rsid w:val="00796F36"/>
    <w:rsid w:val="007B185B"/>
    <w:rsid w:val="008236F0"/>
    <w:rsid w:val="008306AC"/>
    <w:rsid w:val="0085396A"/>
    <w:rsid w:val="00884FE0"/>
    <w:rsid w:val="008E7DEB"/>
    <w:rsid w:val="0090520E"/>
    <w:rsid w:val="009155EC"/>
    <w:rsid w:val="00927CEC"/>
    <w:rsid w:val="00957FB2"/>
    <w:rsid w:val="009B3F1D"/>
    <w:rsid w:val="009B419A"/>
    <w:rsid w:val="009C4B00"/>
    <w:rsid w:val="00A24989"/>
    <w:rsid w:val="00A27804"/>
    <w:rsid w:val="00A514C4"/>
    <w:rsid w:val="00A52574"/>
    <w:rsid w:val="00A61BD1"/>
    <w:rsid w:val="00A63FBC"/>
    <w:rsid w:val="00A70BFD"/>
    <w:rsid w:val="00A72BF0"/>
    <w:rsid w:val="00A91A9C"/>
    <w:rsid w:val="00AB78E1"/>
    <w:rsid w:val="00AE5EA2"/>
    <w:rsid w:val="00AF3492"/>
    <w:rsid w:val="00B471F2"/>
    <w:rsid w:val="00B944D7"/>
    <w:rsid w:val="00BA14E6"/>
    <w:rsid w:val="00BA28E7"/>
    <w:rsid w:val="00CD21FC"/>
    <w:rsid w:val="00D71351"/>
    <w:rsid w:val="00D76301"/>
    <w:rsid w:val="00DF1370"/>
    <w:rsid w:val="00E553C0"/>
    <w:rsid w:val="00E73996"/>
    <w:rsid w:val="00EC277C"/>
    <w:rsid w:val="00ED5842"/>
    <w:rsid w:val="00EF5649"/>
    <w:rsid w:val="00F06D9D"/>
    <w:rsid w:val="00F11BA8"/>
    <w:rsid w:val="00F12941"/>
    <w:rsid w:val="00F338AC"/>
    <w:rsid w:val="00F47F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77C"/>
    <w:pPr>
      <w:spacing w:after="150"/>
    </w:pPr>
    <w:rPr>
      <w:sz w:val="23"/>
      <w:szCs w:val="24"/>
    </w:rPr>
  </w:style>
  <w:style w:type="paragraph" w:styleId="Overskrift1">
    <w:name w:val="heading 1"/>
    <w:basedOn w:val="Normal"/>
    <w:next w:val="Normal"/>
    <w:qFormat/>
    <w:rsid w:val="00EC277C"/>
    <w:pPr>
      <w:keepNext/>
      <w:spacing w:before="20" w:after="20"/>
      <w:outlineLvl w:val="0"/>
    </w:pPr>
    <w:rPr>
      <w:b/>
      <w:bCs/>
      <w:sz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C277C"/>
    <w:pPr>
      <w:tabs>
        <w:tab w:val="center" w:pos="4819"/>
        <w:tab w:val="right" w:pos="9638"/>
      </w:tabs>
    </w:pPr>
  </w:style>
  <w:style w:type="paragraph" w:styleId="Sidefod">
    <w:name w:val="footer"/>
    <w:basedOn w:val="Normal"/>
    <w:rsid w:val="00EC277C"/>
    <w:pPr>
      <w:tabs>
        <w:tab w:val="center" w:pos="4819"/>
        <w:tab w:val="right" w:pos="9638"/>
      </w:tabs>
    </w:pPr>
  </w:style>
  <w:style w:type="character" w:styleId="Sidetal">
    <w:name w:val="page number"/>
    <w:basedOn w:val="Standardskrifttypeiafsnit"/>
    <w:rsid w:val="00EC277C"/>
  </w:style>
  <w:style w:type="paragraph" w:styleId="Markeringsbobletekst">
    <w:name w:val="Balloon Text"/>
    <w:basedOn w:val="Normal"/>
    <w:link w:val="MarkeringsbobletekstTegn"/>
    <w:rsid w:val="002B72BC"/>
    <w:pPr>
      <w:spacing w:after="0"/>
    </w:pPr>
    <w:rPr>
      <w:rFonts w:ascii="Tahoma" w:hAnsi="Tahoma" w:cs="Tahoma"/>
      <w:sz w:val="16"/>
      <w:szCs w:val="16"/>
    </w:rPr>
  </w:style>
  <w:style w:type="paragraph" w:styleId="Brdtekst">
    <w:name w:val="Body Text"/>
    <w:basedOn w:val="Normal"/>
    <w:rsid w:val="00EC277C"/>
    <w:pPr>
      <w:spacing w:after="240" w:line="240" w:lineRule="atLeast"/>
    </w:pPr>
    <w:rPr>
      <w:spacing w:val="-5"/>
      <w:szCs w:val="20"/>
      <w:lang w:eastAsia="en-US"/>
    </w:rPr>
  </w:style>
  <w:style w:type="character" w:styleId="Hyperlink">
    <w:name w:val="Hyperlink"/>
    <w:rsid w:val="00EC277C"/>
    <w:rPr>
      <w:color w:val="0000FF"/>
      <w:u w:val="single"/>
    </w:rPr>
  </w:style>
  <w:style w:type="paragraph" w:customStyle="1" w:styleId="Adressat">
    <w:name w:val="Adressat"/>
    <w:rsid w:val="00EC277C"/>
    <w:pPr>
      <w:spacing w:after="150" w:line="180" w:lineRule="exact"/>
      <w:jc w:val="both"/>
    </w:pPr>
    <w:rPr>
      <w:sz w:val="23"/>
      <w:szCs w:val="24"/>
    </w:rPr>
  </w:style>
  <w:style w:type="paragraph" w:customStyle="1" w:styleId="Departementtekst">
    <w:name w:val="Departement tekst"/>
    <w:rsid w:val="00EC277C"/>
    <w:pPr>
      <w:spacing w:after="130"/>
    </w:pPr>
    <w:rPr>
      <w:rFonts w:ascii="Verdana" w:hAnsi="Verdana"/>
      <w:sz w:val="17"/>
      <w:szCs w:val="24"/>
    </w:rPr>
  </w:style>
  <w:style w:type="paragraph" w:customStyle="1" w:styleId="Vedrrendetitel">
    <w:name w:val="Vedrørende titel"/>
    <w:next w:val="Normal"/>
    <w:rsid w:val="00EC277C"/>
    <w:pPr>
      <w:spacing w:after="90"/>
    </w:pPr>
    <w:rPr>
      <w:rFonts w:ascii="Verdana" w:hAnsi="Verdana"/>
      <w:b/>
      <w:sz w:val="15"/>
      <w:szCs w:val="24"/>
    </w:rPr>
  </w:style>
  <w:style w:type="paragraph" w:customStyle="1" w:styleId="DepartementSidefod">
    <w:name w:val="Departement Sidefod"/>
    <w:rsid w:val="00EC277C"/>
    <w:pPr>
      <w:spacing w:after="170"/>
    </w:pPr>
    <w:rPr>
      <w:rFonts w:ascii="Verdana" w:hAnsi="Verdana"/>
      <w:sz w:val="13"/>
      <w:szCs w:val="13"/>
    </w:rPr>
  </w:style>
  <w:style w:type="character" w:customStyle="1" w:styleId="MarkeringsbobletekstTegn">
    <w:name w:val="Markeringsbobletekst Tegn"/>
    <w:link w:val="Markeringsbobletekst"/>
    <w:rsid w:val="002B72BC"/>
    <w:rPr>
      <w:rFonts w:ascii="Tahoma" w:hAnsi="Tahoma" w:cs="Tahoma"/>
      <w:sz w:val="16"/>
      <w:szCs w:val="16"/>
    </w:rPr>
  </w:style>
  <w:style w:type="table" w:styleId="Tabel-Gitter">
    <w:name w:val="Table Grid"/>
    <w:basedOn w:val="Tabel-Normal"/>
    <w:rsid w:val="00DF1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Kopi%20af%20%5bCaptia%5d%20Brev.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E9198-C3A6-4212-9B56-78A1BCC6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Kopi af [Captia] Brev</Template>
  <TotalTime>222</TotalTime>
  <Pages>1</Pages>
  <Words>1515</Words>
  <Characters>9247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lpstr>
    </vt:vector>
  </TitlesOfParts>
  <Company>Skatteministeriet</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Ingrid Hornshøj Jensen</cp:lastModifiedBy>
  <cp:revision>11</cp:revision>
  <cp:lastPrinted>2013-01-11T07:43:00Z</cp:lastPrinted>
  <dcterms:created xsi:type="dcterms:W3CDTF">2013-01-11T06:53:00Z</dcterms:created>
  <dcterms:modified xsi:type="dcterms:W3CDTF">2013-01-11T07:44:00Z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ds@skm.dk</vt:lpwstr>
  </property>
  <property fmtid="{D5CDD505-2E9C-101B-9397-08002B2CF9AE}" pid="3" name="dir">
    <vt:lpwstr>+45 33 92 44 62</vt:lpwstr>
  </property>
  <property fmtid="{D5CDD505-2E9C-101B-9397-08002B2CF9AE}" pid="4" name="mobil">
    <vt:lpwstr>+45 20 20 20 20</vt:lpwstr>
  </property>
  <property fmtid="{D5CDD505-2E9C-101B-9397-08002B2CF9AE}" pid="5" name="path">
    <vt:lpwstr>C:\Users\w07365\AppData\Local\Temp\SJ20130111073010319 [DOK11869688].DOCX</vt:lpwstr>
  </property>
  <property fmtid="{D5CDD505-2E9C-101B-9397-08002B2CF9AE}" pid="6" name="title">
    <vt:lpwstr>L 108 - supplerende høringskema pr. 11. jan. (DOK11869688)</vt:lpwstr>
  </property>
  <property fmtid="{D5CDD505-2E9C-101B-9397-08002B2CF9AE}" pid="7" name="command">
    <vt:lpwstr/>
  </property>
</Properties>
</file>